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6698-2002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6698-2002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a las penas privativas de libertad, incluida las responsabilidad personal en caso de impago de la multa, y a las penas accesorias impuestas a los demandantes de amparo se refiere.</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relación con el resto de los pronunciamientos contenidos en la Sentencia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25 de noviembre de 2002, la Procuradora de los Tribunales doña Josefina Ruiz Ferrán, en nombre y representación de don Leoncio de Frutos Salvador y de don Miguel Angel, don Jorge, don Rubén y don César de Frutos Pecharromán, interpuso recurso de amparo contra la Sentencia de la Sección Décimoquinta de la Audiencia Provincial de Madrid de 7 de octubre de 2002, por la que se revocaba en apelación la Sentencia absolutoria dictada en instancia por el Juzgado de lo Penal núm. 8 de Madrid con fecha de 18 de junio de 2002, en procedimiento seguido por delito de alzamiento de bienes. En la demanda de amparo se solicitaba, por otrosí digo, la suspensión de la Sentencia impugnada hasta tanto no se resuelva el presente recurso de amparo, dado que la no suspensión de la misma haría perder al recurso su finalidad produciendo a los demandantes de amparo un perjuicio irreparable a la vista de la corta duración de la pena privativa de libertad que les fue impuesta por dicha resolución y de los considerables gastos de carácter notarial, fiscal y registral que necesariamente conllevan las anulaciones de las transmisiones patrimoniales, a los que habría que añadir el pago de las multas y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18 de junio de 2002, el Juzgado de lo Penal núm.8 de Madrid dictó una Sentencia en la que absolvía a los hoy demandantes de amparo del delito de alzamiento de bienes del que venían acusados. </w:t>
      </w:r>
    </w:p>
    <w:p w:rsidRPr="00C21FFE" w:rsidR="00AD51A7" w:rsidRDefault="00AD51A7">
      <w:pPr>
        <w:rPr/>
      </w:pPr>
      <w:r w:rsidRPr="&lt;w:rPr xmlns:w=&quot;http://schemas.openxmlformats.org/wordprocessingml/2006/main&quot;&gt;&lt;w:lang w:val=&quot;es-ES_tradnl&quot; /&gt;&lt;/w:rPr&gt;">
        <w:rPr/>
        <w:t xml:space="preserve">b) Presentado por la acusación particular recurso de apelación contra la anterior resolución -recurso que fue impugnado por el Ministerio Fiscal- fue revocada por Sentencia de la Sección Decimoquinta de la Audiencia Provincial de Madrid de 7 de octubre de 2002, notificada a la representación de los demandantes el día 30 de ese mismo mes y año, siendo en consecuencia condenados, como autores responsables de un delito de alzamiento de bienes, a las siguientes penas: 1) don Leoncio, a un año y seis meses de prisión, con la accesoria de privación del derecho de sufragio pasivo durante del tiempo de la condena, y multa por tiempo de dieciocho meses, a razón de una cuota diaria de seis euros, por responsabilidad personal de un día de privación de libertad por cada dos cuotas insatisfechas; 2) don Miguel Angel, don Jorge, don Rubén y don César, a un año de prisión, con idéntica accesoria durante dicho periodo, y multa por tiempo de doce meses, a razón de una cuota diaria de seis euros, con también idéntica responsabilidad personal en caso de impago. En dicha Sentencia se declaraba, además, la nulidad de la transmisión de fincas rústicas formalizada a favor de Cable Traductor, S.L., así como la de las fincas rústicas realizada a favor de don Miguel Angel, don Jorge, don Rubén y don César de Frutos Pecharromán, siempre que los mencionados inmuebles no hubiesen sido transmitidos a un tercero de buena fe cuya titularidad apareciese jurídicamente amparada. Se condenaba asimismo a los acusados al pago por partes iguales de las costas de la instancia, incluidas las de la acusación particular.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en sede de apelación por la Audiencia Provincial de Madrid ha vulnerado los derechos de los solicitantes de amparo a un proceso con todas las garantías y a la presunción de inocencia, reconocidos ambos en el apartado 2 del art. 24 CE.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de derechos fundamentales, se argumenta que habría sido cometida al proceder el órgano judicial de apelación a corregir y revisar la valoración de la prueba consistente en las declaraciones de los acusados que, en forma razonada y motivada, había hecho el juzgador de instancia sin haber respetado, para ello, los principios de inmediación y de contradicción dado que no procedió a celebrar vista oral del recurso (se citan en la demanda, a este respecto, las SSTC 167/2002, de 18 de septiembre y 200/2002, de 28 de octubre). También se considera infringido por la Sentencia dictada en sede de apelación el derecho de los demandantes de amparo a la presunción de inocencia, por insuficiencia de la prueba indiciaria que en ella se esgrime para justificar la condena a la vista de la falta de lógica de la inferencia extraída de una serie de datos a los que ni tan siquiera cabría calificar de indicios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28 de octubre de 2003,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 los demandantes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13 de noviembre de 2003 en el que, de conformidad con la reiterada doctrina sentada al respecto por este Tribunal, consideraba procedente la suspensión de la ejecución de las penas privativas de libertad impuestas a los demandantes de amparo, dada la corta duración de las mismas, así como de la accesoria de inhabilitación especial para el derecho de sufragio pasivo durante el tiempo de la condena, no debiendo, en cambio, alcanzar tal efecto a las penas de multa y a la condena en costas dado que, al ser tales pronunciamientos de contenido económico, su no suspensión no ocasionaría perjuicios de imposible reparación. Por lo que se refiere, finalmente, a la suspensión de la declaración de nulidad de las transmisiones de fincas efectuadas, opinaba el Ministerio Fiscal que tal suspensión no era procedente toda vez que, como indica la doctrina sentada por este Tribunal en casos similares (ATC 131/2001), "es suficiente, al fin pretendido, la medida cautelar de anotación preventiva de la demanda de amparo...ya que es medida que ni exige ni presupone la suspensión de la efectividad de la resolución recurrida y el consiguiente restablecimiento de la situación anterior (cf. ATC 185/1998), sino que simplemente, anuncia registralmente frente a los terceros, la pendencia del proceso constitucional con sus eventuales consecuencias sobre los derechos inscritos" (AATC 114/1996, 164/1996, entre otros). </w:t>
      </w:r>
    </w:p>
    <w:p w:rsidRPr="00C21FFE" w:rsidR="00AD51A7" w:rsidRDefault="00AD51A7">
      <w:pPr>
        <w:rPr/>
      </w:pPr>
      <w:r w:rsidRPr="&lt;w:rPr xmlns:w=&quot;http://schemas.openxmlformats.org/wordprocessingml/2006/main&quot;&gt;&lt;w:lang w:val=&quot;es-ES_tradnl&quot; /&gt;&lt;/w:rPr&gt;">
        <w:rPr/>
        <w:t xml:space="preserve">La representación de los recurrentes, por su parte, evacuó idéntico trámite mediante escrito registrado en este Tribunal con fecha de 10 de noviembre, en el que, sustancialmente, reiteraba las ya formuladas en la demanda de amparo, añadiendo que resultaría imposible obtener el resarcimiento de los gastos ocasionados por la anulación de las transmisiones patrimoniales anteriormente mencionadas.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en lo relativo a la pena privativa de libertad impuesta a los demandantes de amparo dado que, de no suspenderse, podría ocasionárseles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La suspensión de las penas privativas de libertad conlleva asimismo la de las penas accesorias de suspensión del derecho de sufragio durante el tiempo de la condena, por seguir dicha pena la suerte de la principal a la que acompaña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De conformidad con esa misma doctrina, no procede, en cambio, la suspensión de la ejecución de las penas de multa ni de la condena en costas impuestas por la Sentencia recurrida, dada su naturaleza reversible. Tampoco procede suspender la ejecución del fallo en lo que se refiere a la acordada nulidad de las transmisiones patrimoniales (petición fundada en los daños derivados de los gastos consecuentes a la anulación de dichas transmisiones), toda vez que tales eventuales perjuicios son exclusivamente de carácter patrimonial y, por tanto, resarcibles.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a las penas privativas de libertad, incluida las responsabilidad personal en caso de impago de la multa, y a las penas accesorias impuestas a los demandantes de amparo se refiere.</w:t>
      </w:r>
    </w:p>
    <w:p w:rsidRPr="" w:rsidR="00AD51A7" w:rsidRDefault="00AD51A7">
      <w:pPr>
        <w:rPr/>
      </w:pPr>
      <w:r w:rsidRPr="&lt;w:rPr xmlns:w=&quot;http://schemas.openxmlformats.org/wordprocessingml/2006/main&quot;&gt;&lt;w:szCs w:val=&quot;24&quot; /&gt;&lt;/w:rPr&gt;">
        <w:rPr/>
        <w:t xml:space="preserve">2º. Denegar la suspensión de la ejecución en relación con el resto de los pronunciamientos contenidos en la Sentencia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