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4554-2004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los Autos de la Sección Sexta de la Audiencia Provincial de Cádiz de 10 de mayo y 9 de junio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julio de 2004, la Procuradora de los Tribunales doña Inés Lería Mosquera, interpuso, en nombre de don Ahmed Mohamed Amar, recurso de amparo contra el Auto de la Sección Sexta de la Audiencia Provincial de Cádiz en Ceuta, de fecha 9 de junio de 2004, que desestimó el recurso de súplica interpuesto contra el Auto, de fecha 10 de mayo de 2004, en virtud del cual se prorrogó la prisión provisional del recurrente hasta la mitad de la pena impuesta en Sentencia de fecha 10 de diciembre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libertad personal (art. 17.1 CE) en relación con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28 de septiembre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de amparo formuló sus alegaciones en escrito que tuvo entrada en este Tribunal el día 8 de octubre, reiterando su petición de suspensión por las siguientes razones: en primer lugar, porque la única forma de salvaguardar cautelarmente el derecho a la libertad en este caso es a través de su anticipación; en segundo lugar, porque la resolución combatida ha sido dictada con ignorancia inexcusable del art. 504.2 in fine LECrim y jurisprudencia del Tribunal Constitucional que lo desarrolla, lo que refuerza la apariencia de buen derecho de la petición que se realiza; y, en tercer lugar, porque, habida cuenta que la resolución recurrida ha basado su decisión simplemente en el hecho de mediar Sentencia previa en la instancia, sin conectar tal decisión con circunstancias de interés general tales como peligro de fuga o posibilidad de delinquir nuevamente, la resolución que ahora se dicte no tendría que entrar a valorar tales circunstancias que han sido omitidas por la Sala, lo que estaría vedado en este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11 de octubre de 2004, el Ministerio Fiscal, interesó la denegación de la suspensión de las resoluciones, de conformidad con la jurisprudencia reiterada de este Tribunal (por todos, ATC 364/2003, FFJJ 2 y 3), pues la suspensión de la ejecución constituiría una auténtica anticipación de un eventual amparo y supondría una grave perturbación en el ejercicio de las funciones jurisdiccionales y en el interés general que su ejecución implica. Todo ello, sin perjuicio de que se de tramitación preferente al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  En el caso, se ha de examinar la petición de suspensión de las resoluciones judiciales de prórroga de la prisión provisional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indicado reiteradamente que “es doctrina reiterada de este Tribunal que si bien la afección del derecho a la libertad personal de las resoluciones impugnadas supone que su ejecución causa perjuicios irreparables, sin embargo, la suspensión de la ejecución de las resoluciones judiciales relativas a medidas cautelares de acuerdo o prórroga de prisión provisional equivaldría a un otorgamiento anticipado del amparo, no procediendo en este trámite un examen de fondo de la demanda. En particular, hemos declarado: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cabría la suspensión de resoluciones judiciales al convertirse la perturbación del interés general en causa de denegación de la misma. La mera perturbación que provoca ya la pérdida de ejecutividad de una resolución judicial no puede impedir por sí sola la suspensión (ATC 169/1995), por tanto el análisis ha de efectuarse caso por caso valorando los intereses en conflicto.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[ATC 332/1996; en sentido similar AATC 249/1996, 22/1997, 164/1998, 147/2000, 275/1999, 121/2001]” (ATC 364/2003, de 10 de noviembre,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no procede conceder la suspensión solicitada; sin embargo, la gravedad y certeza de los perjuicios que esta denegación puede ocasionar obligan a este Tribunal a reducir en lo posible esos efectos, con lo que, como se ha hecho en otros casos, y singularmente en los antes citados, la Sala acuerda acelerar la resolución del presente recurso, incluso anteponiéndola en el orden de señalamientos (AATC 249/1996, 22/1997, 164/1998, 147/2000, 275/1999, 121/2001, 364/2003).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los Autos de la Sección Sexta de la Audiencia Provincial de Cádiz de 10 de mayo y 9 de junio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