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358</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2832-1997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recurso de inconstitucionalidad número 1267/99, y el recurso de inconstitucionalidad número 1172/98 y el conflicto positivo de competencia número 541/98, acumulados entre sí, al conflicto de competencia registrado con el número 2832/97.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27 de junio de 1997, el Gobierno de la Generalidad de Cataluña planteó a través de su Abogada conflicto positivo de competencia en relación con la contratación del servicio de apertura y gestión de las cuentas de depósitos y consignaciones que precisan mantener los órganos judiciales, cuya licitación fue anunciada por Resolución de 24 de febrero de 1997 (BOE de 26 de febrero), y su adjudicación publicada por Resolución de 22 de abril (BOE de 23 de mayo de 1997), ambas de la Subsecretaría del Ministerio de Justicia. Al asunto se le asignó el número de registro 2832/97.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que tuvo entrada en el registro de este Tribunal el 10 de febrero de 1998, el Abogado del Estado, en nombre del Gobierno, planteó conflicto positivo de competencia en relación con el Decreto 287/1997 del Consejo de Gobierno de la Junta de Andalucía, por el que se determinan las competencias de los órganos de la administración de la Junta de Andalucía en relación con los pagos, cauciones, depósitos o consignaciones judiciales. Al asunto se le asignó el número de registro 541/98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que tuvo entrada en el registro de este Tribunal el 17 de marzo de 1998, el Abogado del Estado, en nombre del Presidente del Gobierno, promovió recurso de inconstitucionalidad contra la disposición adicional octava de la Ley 7/1997, de 23 de diciembre, del presupuesto de la Comunidad Autónoma de Andalucía para 1998. Al asunto se le asignó el número de registro 1172/98.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24 de marzo de 1999, el Abogado del Estado, en representación del Presidente del Gobierno promovió recurso de inconstitucionalidad contra la disposición adicional séptima de la Ley 10/1998, de 28 de diciembre, del presupuesto de la Comunidad Autónoma de Andalucía para 1999. Al asunto se le asignó el número de registro 1267/99.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los tres procedimientos iniciados a instancias del Abogado del Estado éste ha solicitado la acumulación de asuntos entre sí y con el interpuesto en primer lugar por la Abogada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 través de las oportunas providencias se ha dado traslado de dicha petición al Abogado de la Junta de Andalucía, al Presidente del Parlamento de Andalucía y a la Abogada de la Generalidad de Cataluña. Todos ellos, mediante escritos registrados respectivamente 18 de marzo de 1998 y 15 de junio de 1999, el 8 de mayo de 1998 y el 5 de mayo de 1999, y el 17 de marzo de 1998 y el 17 de junio de 1999 se han sumado a la petición.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ATC 156/1998 este Tribunal acordó la acumulación de los procedimientos registrados con los números 1172/98 y 541/98.</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y expresado con las palabras del legislador,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no existe duda de que, aun tratándose de procesos de distinta naturaleza, concretamente dos conflictos de competencia y dos recursos de inconstitucionalidad, existe entre ellos conexión que es además relevante para su tramitación y decisión unitaria. Tanto los dos procesos ya acumulados como los otros dos versan sobre un mismo asunto, relativo a la titularidad competencial de la gestión del servicio de cuentas de pagos, depósitos y consignaciones judiciales y sus rendimientos.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recurso de inconstitucionalidad número 1267/99, y el recurso de inconstitucionalidad número 1172/98 y el conflicto positivo de competencia número 541/98, acumulados entre sí, al conflicto de competencia registrado con el número 2832/97.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