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142</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7594-2003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7594-2003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Conceder la suspensión de la ejecución solicitada exclusivamente en lo que a la pena de arresto por tiempo de dieciocho fines de semana y a las penas accesorias de suspensión de todo cargo público y del derecho de sufragio durante el tiempo de la condena</w:t>
            </w:r>
          </w:p>
          <w:p w:rsidRPr="00D13423" w:rsidR="00AD51A7" w:rsidRDefault="00AD51A7">
            <w:pPr>
              <w:rPr/>
            </w:pPr>
            <w:r w:rsidRPr="&lt;w:rPr xmlns:w=&quot;http://schemas.openxmlformats.org/wordprocessingml/2006/main&quot;&gt;&lt;w:color w:val=&quot;800080&quot; /&gt;&lt;w:szCs w:val=&quot;24&quot; /&gt;&lt;/w:rPr&gt;">
              <w:rPr/>
              <w:t xml:space="preserve">se refiere.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17 de diciembre de 2003 la Procuradora de los Tribunales doña Elena Paula Yustos Capilla, en nombre y representación de don Ramón Gutiérrez Ávila, interpuso recurso de amparo contra el Auto de la Sección Primera de la Audiencia Provincial de Ciudad Real de 18 de noviembre de 2003, denegatorio de la prescripción de la pena de arresto por el tiempo de dieciocho fines de semana, con las accesorias de suspensión de todo cargo público y de derecho de sufragio durante el tiempo de condena, impuesta al demandante de amparo por Sentencia firme del Juzgado de lo Penal núm.1 de esa misma ciudad con fecha de 30 de diciembre de 1996. En la demanda de amparo se solicitaba, por otrosí digo, la suspensión de la pena impuesta hasta tanto no se resuelva el presente recurso de amparo, dado que, habida cuenta de su corta extensión, la no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de enero de 2006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el trámite de alegaciones mediante escrito registrado en este Tribunal con fecha de 7 de febrero de 2006, en el que, de conformidad con la reiterada doctrina dictada al respecto por este Tribunal, consideraba procedente la suspensión, exclusivamente, de la ejecución de la pena privativa de libertad impuesta al demandante de amparo, así como de las accesorias, no debiendo alcanzar tal efecto al resto de los pronunciamientos contenidos en la Sentencia dado que, al ser de contenido económico, su no suspensión no ocasionaría perjuicios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recurrente, por su parte, evacuó idéntico trámite mediante escrito de fecha 1 de febrero de 2006, en el que reiteraba su petición de suspensión de la ejecución de la pena de arresto por tiempo de dieciocho fines de semana que le había sido impuesta por Sentencia firme.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a acordar la suspensión interesada en lo relativo a la pena privativa de libertad, dado que, de no suspenderse, podría ocasionarse al recurrente un perjuicio irreparable, toda vez que, como ya hemos declarado en anteriores ocasiones (por todas: AATC 269/1998, de 26 de noviembre y 84/2002, de 20 de mayo), estando comprendida la duración de la condena (arresto por tiempo de dieciocho fines de semana) dentro de la posible duración de la tramitación del presente recurso, previsiblemente dicha pena privativa de libertad estaría a punto de cumplirse —o se habría cumplido ya en su totalidad— en dicho momento, lo que hace que, conforme también declarábamos en las ocasiones anteriormente mencionadas, los intereses generales asociados a la ejecución de toda Sentencia penal en lo que a privación de libertad se refiere se encuentren, en este caso, muy debilitados.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suspensión de la pena privativa de libertad conlleva asimismo la de la pena accesoria de suspensión de todo cargo público y del derecho de sufragio pasivo durante el tiempo de la condena, por seguir dicha pena la suerte de la principal a la que acompaña y no apreciarse que la suspensión de su ejecución pueda afectar a los derechos de terceros (AATC 131/2001, de 22 de mayo y 151/2001, de 18 de junio, entre otros muchos).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Conceder la suspensión de la ejecución solicitada exclusivamente en lo que a la pena de arresto por tiempo de dieciocho fines de semana y a las penas accesorias de suspensión de todo cargo público y del derecho de sufragio durante el tiempo de la condena</w:t>
      </w:r>
    </w:p>
    <w:p w:rsidRPr="" w:rsidR="00AD51A7" w:rsidRDefault="00AD51A7">
      <w:pPr>
        <w:rPr/>
      </w:pPr>
      <w:r w:rsidRPr="&lt;w:rPr xmlns:w=&quot;http://schemas.openxmlformats.org/wordprocessingml/2006/main&quot;&gt;&lt;w:szCs w:val=&quot;24&quot; /&gt;&lt;/w:rPr&gt;">
        <w:rPr/>
        <w:t xml:space="preserve">se refiere.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