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6625-2004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6625-2004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noviembre de 2004 el Procurador de los Tribunales don Luis Estrugo Muñoz, en nombre y representación de don Manuel Chavarri Subirat y de doña Rafaela Pérez Ramos, presentó en el Registro General de este Tribunal demanda de amparo contra la Sentencia de la Sección Segunda de la Sala de lo Contencioso-Administrativo de la Audiencia Nacional de 7 de octubre de 2004, por la que se desestima el recurso contencioso- administrativo núm. 417-2002, interpuesto contra resolución del Tribunal Económico Administrativo Central de 22 de febrero de 2002 sobre liquidación del impuesto sobre la renta de las personas físicas de los ejercicios fiscales 1989 y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alegan en su demanda de amparo que la Sentencia impugnada Supremo vulnera su derecho a la tutela judicial efectiva sin indefensión (art. 24.1 CE), por cuanto la Sala denegó con una fundamentación irrazonable la práctica de una prueba pericial oportunamente solicitada por los recurrentes, lo que se ha traducido en una efectiva indefensión material para éstos, pues de haberse practicado dicha prueba el resultado final del proceso hubiera podido ser distinto, toda vez que con dicha prueba se pretendía discutir el valor de adquisición del local tenido en cuenta por la Administración tributaria en los correspondientes acuerdos de liquidación adicionales, de los que resultaba la reclamación de las correspondientes deudas tributarias por mayor importe del incremento de patrimonio producido por la venta del referido inmueble. </w:t>
      </w:r>
    </w:p>
    <w:p w:rsidRPr="00C21FFE" w:rsidR="00AD51A7" w:rsidRDefault="00AD51A7">
      <w:pPr>
        <w:rPr/>
      </w:pPr>
      <w:r w:rsidRPr="&lt;w:rPr xmlns:w=&quot;http://schemas.openxmlformats.org/wordprocessingml/2006/main&quot;&gt;&lt;w:lang w:val=&quot;es-ES_tradnl&quot; /&gt;&lt;/w:rPr&gt;">
        <w:rPr/>
        <w:t xml:space="preserve">Por otrosí, los recurrentes solicitaron la suspensión de la Sentencia impugnada en amparo, alegando que la resolución del Tribunal Económico Administrativo Central de 22 de febrero de 2002 y las liquidaciones tributarias de las que trae causa han estado suspendidas durante la sustanciación del recurso contencioso-administrativo en virtud de prestación de garantía consistente en hipoteca unilateral a favor de la Hacienda Pública sobre la vivienda de los recurrentes y la plaza de garaje sita en el mismo edificio, inmuebles que constituyen el único patrimonio de los recurrentes, por lo que el levantamiento de la suspensión y la consiguiente ejecución de la deuda supondría por fuerza, dados los escasos recursos económicos de los recurrentes, la ejecución de los inmuebles sujetos a la referida garantía, su enajenación en pública subasta y el consiguiente desahucio de los recurrentes. Aducen que lo anterior les ocasionaría unos perjuicios difícilmente reparables en el caso de otorgarse el amparo, máxime teniendo en cuenta su avanzada edad y sus circunstancias físicas, sin que, por el contrario, la continuación del estado de suspensión origine perjuicios a la Hacienda Pública, máxime estando garantizado con hipoteca el pago de la deuda tributaria.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29 de marzo de 2006 la Sección Primera de este Tribunal acordó admitir a trámite la demanda de amparo y ordenar que se formase la presente pieza separada de suspensión, concediendo a los demandantes de amparo y al Ministerio Fiscal, conforme a lo dispuesto en el art. 56.1 LOTC,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5 de abril de 2006 se registró en este Tribunal el escrito de alegaciones de los recurrentes, en el que reiteran su solicitud de suspensión de la Sentencia impugnada por los mismos argumentos ya expuestos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presentado el 10 de abril de 2006, interesando que se deniegue la suspensión solicitada. Recuerda el Fiscal la doctrina reiterada de este Tribunal que deniega la suspensión de las resoluciones que permiten la restitución íntegra de lo ejecutado, como sucede con los pronunciamientos de efectos exclusivamente patrimoniales. En el presente caso se solicita la suspensión de la ejecución de una Sentencia que confirma las deudas tributarias reclamadas a los recurrentes, por lo que estamos ante un pronunciamiento económico, no acreditándose en el momento actual la existencia de perjuicios irreparables, pues los recurrentes solicitan la suspensión únicamente para prevenir una eventualidad futura (la ejecución de la hipoteca constituida sobre el domicilio de los recurrentes para garantizar la deuda tributaria y el consiguiente desahucio de aquéllos), por lo que no procede acceder a la suspensión solicitada, sin perjuicio de que, si llegase a ejecutar la hipoteca constituida sobre la vivienda —no sobre la constituida sobre la plaza de garaje—, pueda volver a solicitarse la suspensión en cuanto a ese concreto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56.1 LOTC deriva una regla general, consistente en que la admisión del recurso de amparo no conlleva la suspensión de los actos recurridos,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61/2000, de 28 de febrero; 161/2001, de 18 de junio; 170/2001, de 22 de junio; 163/2003, de 19 de mayo, y 37/2006, de 13 de febrero,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215/1999, de 14 de septiembre; 18/2001, de 29 de enero; 106/2001, de 7 de mayo; 120/2001, de 8 de mayo; 159/2001, de 18 de junio; 93/2002, de 3 de junio; 106/2002, de 17 de junio; 165/2003, de 19 de mayo y 326/2005, de 12 de septiembre, por todos).</w:t>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como se recuerda en el ATC 16/2003, de 22 de enero, F.J. 2,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161/1999), así como de demolición de viviendas (ATC 225/1999).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(por todos, AATC 684/1986, 405/1989, 351/1991, 234/1995, 47/1997 y 137/1998) e incluso en supuestos de privación temporal del uso de la vivienda de la que es propietario el recurrente y que constituye su residencia habitual (ATC 223/1996)”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no concurren ninguna de las circunstancias expuestas para acordar la suspensión interesada, toda vez que, como acertadamente pone de manifiesto el Ministerio Fiscal en sus alegaciones, los recurrentes no acreditan la irreparabilidad de los supuestos perjuicios económicos que afirman que les ocasionaría la ejecución de la Sentencia recurrida, haciendo perder al recurso de amparo su finalidad en caso de que finalmente fuese estimado. En efecto, los recurrentes solicitan la suspensión de la Sentencia impugnada únicamente para prevenir una eventualidad futura, cual es la posibilidad de que la Administración tributaria ejecute la hipoteca constituida por éstos sobre la vivienda que constituye su domicilio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en consecuencia, acceder en este momento a la suspensión interesada, pues no se acredita por los recurrentes la existencia de daños irreversibles o de muy difícil reparación que impidan la efectividad de la restauración en el derecho fundamental vulnerado, en caso de un eventual otorgamiento del amparo.</w:t>
      </w:r>
    </w:p>
    <w:p w:rsidRPr="00C21FFE" w:rsidR="00AD51A7" w:rsidRDefault="00AD51A7">
      <w:pPr>
        <w:rPr/>
      </w:pPr>
      <w:r w:rsidRPr="&lt;w:rPr xmlns:w=&quot;http://schemas.openxmlformats.org/wordprocessingml/2006/main&quot;&gt;&lt;w:lang w:val=&quot;es-ES_tradnl&quot; /&gt;&lt;/w:rPr&gt;">
        <w:rPr/>
        <w:t xml:space="preserve">Todo ello sin perjuicio de que, como también señala el Ministerio Fiscal en sus alegaciones, si efectivamente la Administración tributaria iniciase el procedimiento de ejecución de la hipoteca constituida sobre la vivienda de los recurrentes en amparo —en ningún caso si se tratase de la ejecución de la garantía hipotecaria constituida sobre la plaza de garaje— puedan éstos, de conformidad con lo dispuesto en el art. 56.2 LOTC, solicitar de nuevo la suspensión de la Sentencia impugnada, en cuanto a ese concreto procedimiento de ejecución hipotecaria.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