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5241-2011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5241-2011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28 de septiembre de 2011 tuvo entrada en el Registro General de este Tribunal, recurso de amparo interpuesto por don José Antonio Sandín Fernández, en representación de don Gaspar Llamazares Trigo y de doña Nuria Buenaventura Puig, Diputados del Grupo Parlamentario Esquerra Republicana-Izquierda Unida-Iniciativa Per Catalunya Verds en el Congreso de los Diputados contra las siguientes resoluciones y acuerdos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Contra la resolución de la Mesa del Congreso de los Diputados, de 30 de agosto de 2011, por la que se dispone la tramitación de la proposición de reforma del art. 135 CE por el procedimiento de urgencia y la finalización del plazo para la interposición de enmiendas por parte de los grupos parlamentarios el día 1 de septiembre de 2011 a las catorce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el acuerdo de la Mesa del Congreso de los Diputados, de 2 de septiembre de 2011, desestimatorio de la reconsideración de los acuerdos adoptados el 30 de agosto de 2011, solicitada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el acuerdo del Pleno del Congreso de los Diputados, de 30 de agosto de 2011, por el que se aprueba la toma en consideración y la tramitación por el procedimiento de lectura única de la proposición de reforma del art.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el acuerdo de la Mesa del Congreso de los Diputados, de 1 de septiembre de 2011, por el que se inadmite la enmienda a la totalidad con texto alternativo presentada por el grupo parlamentario al que pertenecen los recurrentes y su ulterior confirmación por acuerdo del mismo órgano rector de la Cámara, de 2 de septiembre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de 26 de agosto de 2011 tuvo entrada en el Registro del Congreso de los Diputados una proposición de reforma del art. 135 CE suscrita por los grupos parlamentarios socialista y popular en dicha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parte de la Presidencia de la Cámara, con la misma fecha, se acordó, de una parte: admitir a trámite, publicar en el boletín correspondiente y someter la iniciativa a la deliberación del Pleno a los efectos de su toma en consideración; y, de otra parte, dar traslado al Gobierno para que manifestara su criterio respecto de la toma en consideración. La publicación de la proposición de reforma tuvo lugar en el “Boletín Oficial de las Cortes Generales” de 26 de agosto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Posteriormente la Mesa del Congreso de los Diputados acordó, con fecha de 30 de agosto de 2011,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en el caso de que la proposición de reforma del artículo 135 de la Constitución Española fuese tomada en consideración y acordada su tramitación directa y en lectura única, de conformidad con lo dispuesto en los artículos 93 y 126.5, por remisión del artículo 146.1, todos ellos del Reglamento del Congreso de los Diputados, su tramitación por el procedimiento de urgencia.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disponer la apertura de un plazo de presentación de enmiendas a la señalada proposición de reforma que debía concluir el 1 de septiembre de 2011, a las 14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toma en consideración de la iniciativa de reforma constitucional tuvo lugar en sesión plenaria el mismo 30 de agosto de 2011, en la que se acordó, igualmente, la tramitación directa y en lectura única de dicha iniciativa según lo prevenido en el art. 150 del Reglamento del Congreso de los Diputados (RCD).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su parte, los ahora recurrentes en amparo, integrantes del grupo parlamentario Esquerra Republicana-Izquierda Unida-Iniciativa Per Catalunya Verds en el Congreso de los Diputados, presentaron escrito, con fecha de 30 de agosto de 2011, por el que se solicitaba de la Mesa de la Cámara la reconsideración del acuerdo de 30 de agosto de 2011 de conformidad con lo establecido en el art. 31.2 RCD. En el escrito se denunciaba la inadecuación de la tramitación parlamentaria acordada con respecto de lo previsto en el art. 150.1 RCD para el procedimiento de lectura única y con la propia naturaleza del objeto de la iniciativa, una reforma de la Constitución. En particular se puso de manifiesto la improcedencia de someter los plazos de la tramitación al procedimiento de urgencia sin adecuada motivación que, a juicio de los recurrentes, resulta indispensable. Igualmente se alegó que la sustancial reducción de plazos para la presentación de enmiendas vulneraba el ius in officium de los representantes garantizado por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referido órgano rector de la Cámara acordó, con fecha de 2 de septiembre de 2011, desestimar la solicitud de reconsideración. Así, en primer lugar, se rechazó que la proposición de reforma pudiera suponer una reforma encubierta del título preliminar de la Constitución por afectar al art. 1.1 CE, pues ni la literalidad del texto de la iniciativa, ni la jurisprudencia constitucional o la misma doctrina permiten llegar a dicha conclusión. Por ello, se niega la pretensión de los recurrentes de que la proposición de reforma habría de sustanciarse a través del procedimiento previsto en el art. 168 CE; otra cosa supondría extender indebidamente la rígida delimitación material que contiene dicho precepto en cuanto a los supuestos de reforma agravada de la Constitución. En segundo lugar, con respecto del cuestionamiento del recurso al procedimiento de lectura única, se estima que el art. 146 RCD no contiene exclusión alguna en tal sentido, argumentándose que la anterior reforma constitucional, la correspondiente al art. 13.2 CE, se sustanció precisamente a través de dicho procedimiento; por lo demás, de acuerdo con el art. 150 RCD, no ha sido la Mesa de la Cámara quien decidió la adopción del citado procedimiento, por cuanto únicamente elevó la propuesta al Pleno de la Cámara que fue quien finalmente adoptó la decisión. En tercer lugar, y con respecto de la tramitación urgente de la iniciativa con la correspondiente reducción del plazo de presentación de enmiendas, se rechazó que la Mesa hubiera de motivar la necesidad de la tramitación urgente pues, de acuerdo con lo dispuesto en el Reglamento de la Cámara, la Mesa no actuó de oficio, sino que atendió la solicitud realizada, en este sentido, por parte de los promotores de la iniciativa de reforma constitucional, tras la oportuna consideración. Y, en este sentido, se señalaba en el escrito de la iniciativa la inminente disolución de las Cortes anunciada para el día 26 de septiembre como circunstancia que aconsejaba la tramitación parlamentaria urgente. Se concluye poniendo de manifiesto que la tramitación acordada ha dejado a salvo las facultades propias del ius in officium, por cuanto, a pesar de la celeridad del procedimiento, los Diputados han dispuesto del trámite de la toma en consideración, han podido presentar enmiendas, recurrir las decisiones de trámite de la Mesa de la Cámara y, por último, podrán manifestar su conformidad o rechazo a la reforma de la Constitución propuesta mediante el correspondiente voto.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Paralelamente, los recurrentes habían presentado, con fecha de 1 de septiembre de 2011, una enmienda a la totalidad con texto alternativo que resultó inadmitida por acuerdo de la Mesa del Congreso de los Diputados, de ese mismo día, por entender que a través de la referida enmienda se postulaba una reforma del texto constitucional de las previstas en el art. 168 CE. En el acuerdo se habilitaba un plazo de unas horas con el objeto de reformular la enmienda. Presentada en tiempo y forma la correspondiente aclaración y reformulación de la enmienda a la totalidad supracitada, en forma de escrito de reconsideración, la Mesa de la Cámara, por acuerdo de 2 de septiembre de 2011, ratificó la inadmisión de la misma con expresa desestimación de las alegaciones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escrito la Mesa indica que la reconsideración, con las aclaraciones y reformulaciones incorporadas, no altera sustancialmente el contenido inicial del escrito de presentación de enmienda a la totalidad con texto alternativo inadmitido y, por ello, se insiste en el rechazo por proponerse una reforma constitucional de las previstas en el art. 168 CE cuando, la tramitación en curso, se refiere a la modificación de un precepto de la Norma Suprema cuya tramitación ha de ajustarse a lo prevenido en el art. 167 CE. Se señala que dicho escrito, en realidad bien podría constituir el contenido de una proposición de reforma de la Constitución que, de formalizarse, se tramitara de acuerdo con lo señalado en los arts. 147 del Reglamento del Congreso de los Diputados y 168 CE, lo que no es el caso del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vulneración del derecho contenido en el art. 23.2 CE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ponen de manifiesto la, a su juicio, inadecuada tramitación de la proposición de reforma constitucional conforme al procedimiento ordinario del art. 167 CE, pues la reforma propuesta no se limita al art. 135 CE, sino que supone una modificación encubierta del título preliminar de la Constitución Española, singularmente en cuanto el apartado tercero del precepto prevé que: “los créditos para satisfacer los intereses y el capital de la deuda pública de las Administraciones se entenderán siempre incluidos en el estado de gastos de sus presupuestos y su pago gozará de prioridad absoluta”. La previsión, siempre a juicio de los recurrentes, supone introducir un valor superior a los de justicia y equidad, con el resultado de que la cláusula social del Estado queda menoscabada al quedar éste como un “Estado rehén” de las eventuales condiciones que los mercados vayan imponiendo para la financiación pública. Con estos presupuestos, la reforma de la Constitución, además de la reforma encubierta del título preliminar, en especial de su art. 1.1, supone una rebaja del nivel de protección de los derechos fundamentales (se alude, ad exemplum, al derecho a la tutela judicial efectiva, en cuanto que los recursos destinados a la Administración de justicia quedan condicionados al pago prioritario de los intereses y capital de la deuda o de la vertiente prestacional del derecho a la educación, por las mismas razones). En definitiva, la utilización del procedimiento de reforma ordinario, además de inadecuada por razones materiales, supone una merma en las facultades de participación de los Diputados y de los propios ciudadanos por cuanto se eliminan las preceptivas convocatorias electoral y del referéndum previstas en el art. 168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a lo anteriormente expuesto, los recurrentes pasan a analizar cada uno de los acuerdos parlamentarios adoptados en relación con la tramitación de la reforma constitucional controvertida a los efectos de determinar la vulneración del derecho fundamental invocado. En primer lugar, se cuestiona el recurso al procedimiento de lectura única, con una reducción sustancial de las facultades parlamentarias de los Diputados, entre las que se destaca que se eluda el debate en fase de comisión (en este caso, la Comisión Constitucional del Congreso de los Diputados). Pues bien, dicho sacrificio debe sustentarse en razones sólidas y, en este sentido, del tenor del art. 150.1 RCD se deduce que el controvertido procedimiento parlamentario procede en aquellos supuestos en los que la naturaleza de la iniciativa así lo aconseje o cuando la “simplicidad de formulación lo permita”, sin que parezca que una reforma constitucional encaje en ninguna de dichas circunstancias. A todo ello hay que unir la manifiesta ausencia de fundamentación o explicación de las razones por las que los promotores de la iniciativa y los distintos órganos parlamentarios intervinientes han adoptado la decisión de simplificar al máximo la tramitación de la reforma. En suma, se pone de manifiesto cómo la propia Constitución excluye de los procedimientos menos rigurosos, en términos de garantías, la reforma constitucional cuando el art. 78 CE (sic) prohíbe la aprobación de la misma por comisión legislativa permanente.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los recurrentes cuestionan igualmente el recurso al procedimiento de urgencia, con especial atención a la sustancial reducción del plazo para la presentación de enmiendas. Si bien dicha reducción está admitida por el Reglamento de la Cámara, se indica que repugna al Derecho que sea la mera conveniencia o arbitrariedad de los partidos la que determine la aplicación del procedimiento de urgencia en una iniciativa de las características de una reforma constitucional a la que, además, debería acompañarse de una justificación explícita de la Mesa de la Cámara, pues no puede tratarse de una decisión discrecional de dicho órgano al afectarse al derecho de participación. Así, se reprocha que la valoración de la Mesa se haya basado en las declaraciones realizadas ante los medios de comunicación por distintos representantes políticos anunciando una, entonces eventual, disolución de las Cámaras. La urgencia resulta si cabe más cuestionable cuando la disposición adicional única de la proposición de reforma establece un plazo de aprobación para la norma de desarrollo fijado el 30 de junio de 2012 y una entrada en vigor de los límites del déficit estructural contemplados en el apartado segundo del precepto que se demora hasta el año 2020. En consecuencia, la ausencia de justificación en la adopción del procedimiento de urgencia hace lesivas del derecho al ejercicio de la función parlamentaria las reducciones de plazos acordadas para la tramitación de la proposición de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 cuestiona la concreta reducción del plazo para la presentación de enmiendas acordada por la resolución de la Mesa del Congreso de los Diputados de 30 de agosto de 2011. Se considera que la Mesa ha realizado una aplicación fraudulenta del art. 91.2 RCD, que dispone que “salvo casos excepcionales, las prórrogas no serán superiores a otro tanto del plazo ni las reducciones a su mitad”. Al igual que lo expuesto con anterioridad, los recurrentes basan su reproche en la total ausencia de motivación que justifique la excepcionalidad del caso. Aún más, en la medida en que el Presidente del Gobierno no aludió en su anuncio de disolución de las Cámaras a una reforma constitucional, hay motivos para sospechar que la iniciativa se debe a presiones externas igualmente sin explicitar y que los ciudadanos y sus representantes debieran conocer. Con estos presupuestos, la radical reducción del plazo de presentación de enmiendas a 48 horas ha resultado lesiva del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concluyen la primera parte de su recurso exponiendo las consecuencias del procedimiento parlamentario que se ha seguido en este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Eludir la negociación previa de la reforma constitucional, dificultando la búsqueda de consenso y reduciendo las facultades de participación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Eludir la transparencia en la explicación y el contraste de opiniones sobre las consecuencias de la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Evitar un debate en profundidad en la Comisión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Dificultar el trabajo parlamentario de los Diputados que no han aceptado el acuerdo de los grupos promotores de la iniciativa.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Evitar el debate y aportaciones de Comunidades Autónomas y Ayuntamientos, a quienes afecta directamente la reforma constitucional acometida.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Evitar el referéndum que permitiera conocer “la opinión del pueblo español” sobre la reforma que de esta manera aparecerá como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los recurrentes realizan una serie de consideraciones sobre la decisión de la Mesa de la Cámara en orden a inadmitir la enmienda a la totalidad con texto alternativo presentada por ellos. Estiman que la actitud del órgano rector de la Cámara ha supuesto un evidente menosprecio a la labor de los Diputados recurrentes sin más motivación que la de tratar de introducir una reforma constitucional que precisa de una tramitación diferente a la que se estaba siguiendo y sin soporte legal en el Reglamento de la Cámara. El asunto trasciende del plano de las formas parlamentarias para incidir en el ejercicio de las facultares de los Diputados amparado por el art. 23 CE. A mayor abundamiento, el Reglamento de la Cámara permite modificar la tramitación de una ley ordinaria como ley orgánica a través de las enmiendas presentadas al proyecto, y que analógicamente podía haberse aplicado al supuesto objeto de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sustentan su demanda en numerosa cita de la jurisprudencia de este Tribunal, singularmente, la STC 208/2003, de 1 de diciembre, sobre el contenido y alcance del art. 23.2 CE, la STC 39/2008, de 10 de marzo, sobre el derecho de los parlamentarios a acudir en amparo frente a las decisiones de las Cámaras, la STC 205/1990, de 13 de diciembre, sobre los límites a las facultades de calificación y admisión de las Mesas de las Cámaras y la adecuada motivación de sus resoluciones en relación con el art. 23.2 CE,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concluye solicitando, previo otorgamiento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se declare la nulidad de las resoluciones y acuerdos impugnados, “así como de las decisiones y acuerdos posteriores hasta la aprobación final por el Parlamento de la reforma del artículo 135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se retrotraiga la tramitación de la proposición de reforma del artículo 135 de la Constitución Española al momento de publicación de la iniciativa, al objeto de que se tramite conforme al art. 168 CE o, subsidiariamente, que se tramite a través del procedimiento contemplado en el art. 167 CE de forma ordinaria, sin declaración de urgencia, sin reducción de los plazos y sin tramitación por el procedimiento de lectura única.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13 de diciembre de 2011 el Pleno acordó, conforme al art. 10.1 n) de la Ley Orgánica del Tribunal Constitucional, a propuesta de la Sala Segunda, recabar para sí el conocimiento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Constituyen el objeto del presente recurso de amparo, distintas resoluciones y acuerdos adoptados por el Pleno y la Mesa del Congreso de los Diputados en relación con la tramitación parlamentaria de la proposición de reforma del art. 135 CE presentada por los grupos parlamentarios socialista y popular en dicha Cámara. A los efectos de una mejor definición de dicho objeto los actos impugnados pueden sistematizarse de la siguiente manera: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se impugnan una serie de acuerdos y resoluciones relativos a la tramitación en el Congreso de los Diputados de la iniciativa de la reforma constitucional citada y que resultan ser: primero, la resolución de la Mesa del Congreso de los Diputados, de 30 de agosto de 2011, por la que se dispuso la tramitación de la proposición de reforma del art. 135 CE por el procedimiento de urgencia y la finalización del plazo para la interposición de enmiendas el día 1 de septiembre de 2011 a las catorce horas, para el caso de que el Pleno de la Cámara tomara en consideración la iniciativa y acordara su tramitación por el procedimiento de lectura única, así como la ulterior confirmación de dicho acto recaída en reconsideración, con fecha de 2 de septiembre de 2011. Segundo, el acuerdo del propio Pleno de la Cámara, de 30 de agosto de 2011, por el que se aprobó la toma en consideración y la tramitación por el procedimiento de lectura única de la proposición de reforma del art.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y, en relación con la intervención de los ahora recurrentes en amparo durante la tramitación parlamentaria en el Congreso de los Diputados de la iniciativa de reforma del art. 135 CE, se impugna el acuerdo de la Mesa del Congreso de los Diputados, de 1 de septiembre de 2011, por el que inadmitió la enmienda a la totalidad con texto alternativo presentada por el grupo parlamentario al que pertenecen los demandantes y su ulterior confirmación por acuerdo del mismo órgano rector de la Cámara de 2 de septiembre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interesan el otorgamiento del amparo solicitado, con la nulidad de las resoluciones y acuerdos impugnados, así como de cuantos se hubieran adoptado posteriormente hasta la aprobación definitiva de la reforma del art. 135 CE; igualmente pretenden la retroacción de la tramitación parlamentaria hasta el momento de la publicación de la iniciativa de reforma, al objeto de que prosiga de acuerdo con el procedimiento de reforma constitucional agravado, recogido en el art, 168 CE, o, subsidiariamente, de tramitarse mediante el procedimiento ordinario del art. 167 CE, que no se declare la urgencia ni, en consecuencia, la correspondiente reducción de plazos y, por último, que la tramitación no se realice a través del procedimiento de lectura única.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denuncian los recurrentes la vulneración de sus facultades como parlamentarios, integradas en el art. 23.2 CE, y que se han visto menoscabadas o mermadas por parte de los distintos actos impugnados. Todo ello sin perjuicio de la genérica invocación del art. 23.1 CE sin fundamentación que permita advertir los motivos de la lesión; ausencia de precisión que no resulta baladí en el trámite de admisión del recurso de amparo, pues como se ha señalado por este Tribunal: “sobre quien impetra el amparo constitucional pesa, no solamente la carga de abrir la vía para que este Tribunal pueda pronunciarse sobre las vulneraciones de la Constitución que se aleguen, sino además la de proporcionar la fundamentación jurídica y fáctica que razonablemente cabe esperar, y que se integra en el deber de colaborar con la jurisdicción constitucional, sin que le corresponda a este Tribunal reconstruir de oficio las demandas, suplir los razonamientos de las partes, ni suscitar la eventual existencia de los motivos relevantes para el amparo fuera de la vía prevista en el art. 84 LOTC” (SSTC 143/2003, de 14 de julio, FJ 2; y 196/2005, de 18 de julio,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reprocha a la Mesa que, inicialmente, haya calificado la proposición de reforma constitucional controvertida dentro de los supuestos objeto del procedimiento ordinario de reforma contemplados en el art. 167 CE, sobre la base de que la misma supone una reforma encubierta del título preliminar de la Constitución, afecta a distintos derechos fundamentales en cuanto merma su nivel de protección y menoscaba, en fin, las facultades de los Diputados y de los propios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 la documentación aportada con la demanda se deduce que la Mesa del Congreso de los Diputados, con escrupulosa sujeción a lo dispuesto en los arts. 167 y 168 CE, únicamente podía calificar la reforma del art. 135 CE como objeto del procedimiento ordinario de reforma constitucional recogido en el art. 167 CE, sin plantearse eventuales conexiones del precepto objeto de la reforma con otros preceptos o apartados de la Norma Suprema que sí deban ser objeto del procedimiento agravado. Tal y como se argumenta en el acuerdo del mismo órgano, de 2 de septiembre de 2011, por el que se resuelve la reconsideración planteada, la pretendida conexión del art. 135 CE con otros preceptos “no encuentra amparo alguno ni en la propia literalidad del texto constitucional, ni en la jurisprudencia constitucional ni tampoco en la doctrina”. En segundo término, continúa el citado acuerdo, “tal y como ha quedado claro en todos los años de vigencia constitucional, el procedimiento agravado previsto en el artículo 168 CE está limitado por su propia naturaleza al objeto normativo en él contemplado sin que quepa ni sea razonable, una extensión por vía alguna de unos requisitos ya de por sí hiperrígidos. Esta pretensión carecería de sentido alguno y es directamente contraria al espíritu de un texto constitucional que delimitó con bastante precisión las dos vías de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texto constitucional establece de manera precisa la finalidad de las dos vías de reforma que prevé, en función de los objetos sobre los que se puede proyectar, de tal modo que admitir la pretensión de los recurrentes alteraría el equilibrio buscado por el constituyente, corriendo el riesgo de dejar a la discreción del órgano rector de la Cámara la determinación del procedimiento de reforma constitucional. La posible afección de la modificación de un precepto de la Constitución a otros de la misma norma ha sido considerada por este Tribunal con ocasión de la Declaración 1/1992, de 1 de julio (DTC 1/1992), dictada previa consulta del Gobierno de la Nación, al amparo del art. 95.2 CE, en relación con la reforma del art. 13.2 CE, concluyendo que “al no contrariar el precepto examinado otra norma de la Constitución distinta al art. 13.2 de la misma, el procedimiento para la revisión constitucional que prevé el art. 95.1, ha de ser el de carácter general u ordinario contemplado en el art. 167 de nuestra Ley fundamental”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subsidiario a la controvertida calificación de la reforma del art. 135 CE como objeto del procedimiento ordinario previsto en el art. 167 CE, los recurrentes impugnan los acuerdos relativos a la tramitación de la reforma por el procedimiento de lectura única, la declaración de urgencia y la consiguiente reducción de los plazos para la presentación de enmiendas, por resultar igualmente lesivos del derecho al ejercicio de las funciones parlamentarias ex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aprecia lesión en el proceder de la Mesa ni del Pleno sobre el particular. Ni de la lectura del texto constitucional en su conjunto, ni de modo especial del título X dedicado por la propia Constitución a su posible reforma, ni del art. 146 del Reglamento del Congreso de los Diputados (RCD) se advierte que la aprobación de la reforma constitucional haya quedado excluida del procedimiento de lectura única. Supuesto distinto, por lo tanto, al abordado en la STC 103/2008, de 11 de septiembre, en la que el Tribunal trató de la inconstitucionalidad de una norma que se había tramitado conforme a dicho procedimiento cuando el Reglamento parlamentario aplicable excluía expresamente del mismo la materia objeto de la norma. A mayor abundamiento, no es un dato menor el que la única especialidad procedimental vetada por la Norma Fundamental, en relación con la reforma constitucional, es la eventual atribución de la aprobación de la misma a una comisión legislativa permanente (art. 75.3 CE), asegurando así, precisamente, la intervención del Pleno de la Cámara. Intervención que sí se produce durante la sustanciación del procedimiento de lectura única que tiene lugar exclusivamente en sesión plenaria.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desde la perspectiva del procedimiento de lectura única —que se considera inadecuado por los demandantes no reunirse en este caso las notas de simplicidad o naturaleza que así lo aconsejen—, las normas aplicables (art. 150 RCD y concordantes) no establecen materias vedadas a dicha tramitación, como sí sucede con el Reglamento parlamentario de alguna Asamblea autonómica. Pero es que, además, la adopción de dicho procedimiento no se ha debido a la voluntad de la Mesa del Congreso de los Diputados (que únicamente ha formulado propuesta en tal sentido según previene el art. 150 RCD), como parece deducirse del escrito de reconsideración planteado por los recurrentes, sino al Pleno de la Cámara mediante la oportuna votación. Tampoco se deduce de las normas parlamentarias que la Mesa haya de motivar la propuesta de que una determinada iniciativa se tramite mediante el procedimiento de lectura única (art. 150.1 RCD). A mayor abundamiento, en este caso, como se advierte de la lectura de la documentación que se acompaña a la demanda, la solicitud de tramitación por el citado procedimiento se contenía en el escrito de presentación de la iniciativa dirigido por sus promotores a la Mesa de la Cámara, limitándose este órgano a dar traslado de la misma al Pleno, pues debe ser este órgano el que, tras la oportuna votación, decida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en cuanto a la participación de los demandantes en el procedimiento y a las facultades integradas en el art. 23.2 CE, éstos han tenido la oportunidad de intervenir en la fase plenaria durante el trámite de toma en consideración y de oponerse mediante el oportuno voto a la misma, en la tramitación de la proposición mediante el controvertido procedimiento y, ulteriormente, en la propia aprobación de la iniciativa de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Otro tanto sucede con el cuestionamiento que los recurrentes realizan del recurso a la tramitación urgente de la iniciativa de reforma constitucional y a la consiguiente reducción de plazos para la presentación de enmiendas. Nuevamente, de la lectura del Reglamento de la Cámara se advierte que la Mesa se ha ajustado al mismo. En primer lugar, y así se mantiene en el escrito por el que se resuelve la reconsideración, el órgano rector de la Cámara no ha de motivar o justificar su decisión, sino adoptarla en función de la solicitud elevada por los sujetos legitimados para ejercerla (art. 93.1 RCD). Ello sin perjuicio de que no puede sostenerse que no hayan existido razones de fondo para la solicitud, desde el momento en que se había anunciado públicamente el término de la legislatura mediante el recurso a la convocatoria de elecciones anticipadas. En segundo lugar, precisamente por esa circunstancia, concurrían razones de excepcionalidad, por mucho que los recurrentes puedan políticamente no compartirlas, que habilitaban a la Mesa para reducir el plazo de presentación de enmiendas previsto en el art. 94 RCD (“sin perjuicio de lo establecido en el artículo 91 del presente Reglamento, los plazos tendrán una duración de la mitad de los establecidos con carácter ordinario”) a su mitad, como permite el art. 91.2 de la misma norma (“salvo casos excepcionales, las prórrogas no serán superiores a otro tanto del plazo ni las reducciones a su mitad”). En fin, aun en términos tan perentorios, la tramitación urgente no ha impedido a los recurrentes las facultades que les corresponden como Diputados en el seno del procedimiento legislativo, como prueba el que hayan presentado una extensa enmienda a la totalidad con texto alternativo, pues como ha declarado este Tribunal: “la declaración de urgencia por el Gobierno de un proyecto de ley a efectos de su tramitación en dicha Cámara, aun remitido ya el Proyecto a las Cortes Generales, si bien abrevia el plazo de ésta, ni le priva del ejercicio de su función legislativa, al incidir el mecanismo conferido al Gobierno sobre la cronología del procedimiento pero no sobre el contenido del proyecto, ni restringe, ni en modo alguno podía hacerlo, el derecho de la Cámara y de sus miembros a tramitar los proyectos de ley en el plazo constitucionalmente establecido, ni, en fin, la reducción del tiempo de tramitación tiene por qué traducirse en merma alguna de los principios constitucionales que han de informar el procedimiento legislativo en cuanto procedimiento de formación de la voluntad del órgano”, (STC 234/2000, de 3 de octubre, FJ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Procede, para concluir, examinar las quejas relativas a las resoluciones de la Mesa del Congreso de los Diputados por las que se inadmitió la enmienda a la totalidad con texto alternativo presentada por el grupo parlamentario de los ahora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vieron rechazada a limine la tramitación de una enmienda a la totalidad con texto alternativo, mediante la cual se pretendía la reforma de distintos preceptos de la Constitución y que habría exigido, además, la apertura del procedimiento extraordinario del art. 168 CE. En su escrito de 2 de septiembre de 2011, de contestación a las alegaciones presentadas, la Mesa recuerda que, de admitirse la tramitación de la enmienda a la totalidad, ésta hubiera supuesto un cambio en el objeto y el procedimiento de la reforma tal y como había sido planteada por sus promotores, con lo cual, al tenerse que sustanciar por el procedimiento extraordinario del art. 168 CE, se hubiera requerido una tramitación parlamentaria distinta a la seguida hasta el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los recurrentes presentaron una iniciativa de reforma de la Constitución distinta a la iniciativa que se estaba tramitando y no un texto alternativo a la reforma del art. 135 CE. En este sentido, la inadmisión a trámite de una enmienda que se separa del objeto de la tramitación en curso ha sido admitida por este Tribunal considerando que: “[p]ues bien, si se lee el escrito de ‘enmienda de totalidad’ de los Diputados recurrentes, se observa en él que no se limita al precepto estatutario objeto del Proyecto de reforma, exclusivamente el apartado 2 del art. 12 del Estatuto (que es el que establece el tope del 5 por 100 de votos para obtener escaños y que el proyecto pretendía reducir al 3 por 100), sino que extiende la enmienda a los arts. 12.1, 13, 14, 35, 47.4 y Disposición transitoria séptima de dicho Estatuto de Autonomía de la Comunidad Valenciana, con lo que, como bien dicen el Fiscal y el Letrado Mayor de las Cortes Valencianas, se desvirtúa lo que es una auténtica enmienda y se convierte el escrito en el que se contiene en otro proyecto de modificación del Estatuto de mucha mayor envergadura en cuanto se pretende modificar otros preceptos estatutarios que no son objeto del proyecto de Ley y, al tiempo, intentar con ello una iniciativa de reforma del Estatuto sin los requisitos de legitimación precisos para ello, establecidos en el art. 61.1 de dicho Estatuto autonómico” (STC 23/1990, de 15 de febrero de 1990,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recientemente, el Tribunal ha confirmado la necesaria homogeneidad de las enmiendas con la iniciativa que se pretende modificar, tanto en los supuestos en los que se sustancia la tutela de las facultades de los parlamentarios integradas en el art. 23.2 CE, al sostener que “en estas resoluciones se confirma la constitucionalidad de las valoraciones de las Mesas de las Cámaras sobre la homogeneidad de las enmiendas con las iniciativas legislativas a enmendar, para propiciar su inadmisión, no sólo en aquellos supuestos en que el Reglamento de la Cámara lo tenga previsto de manera expresa (STC 23/1990 y ATC 275/1993), sino también, en aquellos casos en que no se establezca una concreta previsión al respecto (ATC 118/1999)” (STC 119/2011, de 5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decisión de la Mesa se encuentra debidamente motivada, cumpliéndose así las exigencias de este Tribunal en orden a que tales resoluciones incorporen una motivación expresa, suficiente y adecuada, en aplicación de las normas a las que está sujeta la Mesa en el ejercicio de su función de calificación y admisión de los escritos y documentos de índole parlamentaria (SSTC 161/1988, de 20 de septiembre, FJ 9; 107/2001, FJ 7; 203/2001, FJ 4; 177/2002, FJ 10; y 74/2009, FJ 3; 33/2010, de 19 de julio, FJ, 4; 44/2010, de 26 de julio, FJ 4; o 29/2011, de 14 de marzo, FFJJ 4 y 5,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y una vez descartada la existencia de lesión alguna del art. 23.2 CE en los términos alegados por los recurrentes, ha de inadmitirse la presente demanda de amparo al no existir violación de derecho fundamental amparable, con lo que incurre en un supuesto de inadmisión previsto en el art. 50.1 a) en relación con el art. 42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Valencia, a trece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Vicepresidente del Tribunal Constitucional, don Eugeni Gay Montalvo, al Auto dictado en el recurso de amparo avocado al Pleno núm. 5241-2011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autoridad de la decisión mayoritaria, pero para ser coherente con la posición que he mantenido en el Pleno, y en ejercicio de la facultad establecida en el art. 90.2 de la Ley Orgánica del Tribunal Constitucional (LOTC), formulo Voto particular concurrente en los términos que paso a exponer: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Único. Aun coincidiendo con la mayoría en el fallo de este Auto y parcialmente en la argumentación que lo fundamenta, entiendo que la misma detiene su análisis antes de tiempo, dejando sin abordar aspectos suscitados en la demanda de amparo que destacan por su trascendencia social y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cierto, como sostiene la decisión mayoritaria, que, dado que “ni de la lectura del art. 146 del Reglamento del Congreso de los Diputados ni de la propia Constitución se advierte que la aprobación de la reforma constitucional haya quedado excluida del procedimiento de lectura única”, éste podrá ser utilizado cuando proceda según sus reglas propias, esto es, “[c]uando la naturaleza del proyecto o proposición de ley tomada en consideración lo aconsejen o su simplicidad de formulación lo permita…” (art. 150 del Reglamento del Congreso de los Diputados).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que no comparto es que para considerar que concurren en este caso los supuestos previstos en este precepto, y en consecuencia que es adecuada la adopción del procedimiento de lectura única, baste que así lo haya considerado el Pleno de la Cámara mediante la oportuna votación. Creo, sin embargo, que es evidente, y así lo ha manifestado una doctrina constitucional reiterada (recientemente la STC 103/2008, de 11 de septiembre, FJ 5) que las normas de los reglamentos de las cámaras que regulan el procedimiento legislativo vinculan a éstas y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[STC 99/1987, de 11 de junio, FJ 1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Afortunadamente la Constitución Española de 1978 fue el resultado de un común empeño de las fuerzas políticas resultantes de los comicios constituyentes que dieron su fruto con la aprobación de su texto definitivo, refrendado de manera abrumadora por el pueblo español en quien reside, sin duda alguna, la soberanía nacional. Fue en el consenso que nuestra Constitución encontró la fuerza jurídica, pero también moral, que ha hecho posible su pervivencia pacífica en el tiempo, inusual en la historia de nuestro constitucionalismo, y que ha permitido la consolidación de la vida democrática del país.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formas en democracia tienen una importancia que va más allá, o transciende, de lo estrictamente necesario y facilitan el encuentro de voluntades y sensibilidades distintas que son propias de la pluralidad de opiniones y criterios políticos de los ciudadanos. Nada impide que, en ciertas ocasiones, el legislador se vea obligado a propiciar un cambio por razones de urgencia del texto constitucional, lo que debe seguirse conforme a los preceptos de la propia Constitución y a lo dispuesto en los mecanismos previstos al efecto en las leyes y reglamentos de las Cámaras, sin olvidar que el consenso que inspiró su redacción primigenia tiene un valor añadido que debe, en todo caso, intentar preservar.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en este sentido que a mi juicio, la argumentación que fundamenta la decisión mayoritaria debería haber analizado si la votación del Pleno de la Cámara que acuerda adoptar el procedimiento de lectura única observa o no el mandato normativo contenido en el art. 150 del Reglamento del Congreso de los Diputados. Me queda claro, por un lado, que la proposición de ley de reforma de la Constitución Española de 1978 que fue tramitada por ese procedimiento tenía tantas implicaciones que no puede decirse, a primera vista, que tuviese una formulación simple. Por otro, es posible que, como ha avalado el Pleno de la Cámara con su voto favorable, la coyuntura que ha propiciado esta reforma constitucional dotase a aquella proposición legislativa de una naturaleza que aconsejase la sustanciación a través de este concreto procedimiento legislativo, si bien tratándose de una reforma de un texto constitucional que, como he dicho, se gestó como fruto de un delicado consenso pareciera que también hubiera motivos para entender que su naturaleza requería de una tramitación tal que facilitara la participación más plural posible, con la cual no se compadece el procedimiento de lectura única.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Valencia, a trece de enero de dos mil doce.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Pablo Pérez Tremps al Auto dictado en el recurso de amparo núm. 5241-2011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del Pleno debo manifestar mi discrepancia con la inadmisión con la que concluye la resolución del asunto citado en el encabezamiento y relativo a la impugnación de determinados actos dictados en la tramitación parlamentaria de la reforma de la Constitución, relativa a su art. 135, y aprobada el 27 de septiembre de 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primero que debe quedar claro en mi discrepancia es que ésta afecta exclusivamente al fallo de inadmisión del citado Auto y que, por tanto, no alcanza al razonamiento sobre la existencia o no de lesión de la Constitución; lo que mi discrepancia comporta es la necesidad de que ese juicio sobre la lesión de la norma fundamental debería haberse hecho mediante Sentencia y no de forma liminar. Es más, y aún a riesgo de incurrir en una contradicción lógica, en una aproximación muy inicial podría incluso compartir los razonamientos sustanciales del Auto, aunque lo que sostengo es que, insisto en ello, la conclusión debería haberse alcanzado mediante Sentencia y, por tanto, tras un procedimiento sustanciado de manera completa de acuerdo con las previsiones de la Ley Orgánica del Tribunal Constitucional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conclusión de inadmisión a la que se llega por la mayoría parte de una construcción procesal que, aunque no hecha explícita de manera clara por el Tribunal después de la reforma de la LOTC realizada sobre el trámite de admisión por la Ley Orgánica 6/2007, es posible anclarla en la LOTC en su redacción actual; brevemente expuesta, esta construcción procesal se basa en la necesidad de que concurran tres elementos para proceder a la admisión a trámite de las demandas de amparo: el cumplimiento de los requisitos procesales o formales en sentido estricto art. 50.1 a), la concurrencia de trascendencia constitucional de la demanda art. 50.1.b) y que no pueda descartarse la existencia de lesión en un juicio preliminar, ictu oculi, de la demanda art. 50.1 a) en relación con los arts. 42 a 44. Este tercer elemento de enjuiciamiento es en el que se basa el Auto de inadmisión ya que ni establece que no se cumplan los elementos procesales, ni afirma que no exista trascendencia constitucional, sino que realiza ese juicio liminar para descartar que exista lesión, apelando al art. 50.1 a), en conexión con el art. 42 LOTC, en la medida en que éste, al igual que los arts. 43 y 44, y de forma genérica el art. 41.2, establecen que el amparo protege frente a violaciones de derechos fundamentales protegidos en amparo. Esta construcción viene a trasladar a la fase de admisión lo que, en realidad, es el juicio de fondo que, en principio, ha de desarrollarse en la Sentencia cuando se cumplen los requisitos procesales. Como señalaba, esta construcción, aunque antes de la reforma de la Ley Orgánica del Tribunal Constitucional tenía mejor anclaje legal en el concepto de “contenido constitucional” establecido en el viejo art. 50.1 c), puede entenderse que justifica inadmisiones a trámite cuando la ausencia de lesión sea manifiesta, aunque puedan cumplirse el resto de las condiciones de admisibilidad, que es lo que ha sucedido en este caso ya que la mayoría atribuye la inadmisión “una vez descartada la existencia de lesión alguna del art. 23.2 CE” a lo “previsto en el art. 50.1 a) en relación con el art. 42 LOTC” (FJ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Ahora bien, aun asumiendo esta construcción jurisdiccional interpretativa de la nueva regulación legal, lo que no puede pretenderse es que toda demanda se someta en fase de admisión a un acabado juicio sobre el fondo de la cuestión planteada, ya que ello supondría reservar las Sentencias de amparo para pronunciamientos estimatorios y a una sustitución del juicio sustantivo por el juicio liminar. Ni ello tiene sentido procesal ni encaja en una concepción del recurso de amparo, que no es sólo un instrumento de garantías constitucional de derechos sino también de interpretación constitucional. Esta construcción lo que puede y debe servir en mi opinión es para rechazar a limine, como también se ha apuntado, demandas en las que se suscitan cuestiones que no suponen, de manera evidente, clara e incontestable, lesión alguna del derecho o derechos fundamentales invocados. Y esta es una facultad que el Tribunal debe administrar de forma muy comedida, tanto para no vaciar de buena parte de su contenido constitucional el recurso de amparo como para legitimar la posición constitucional del propio Tribunal Constitucional como órgano que ejerce una jurisdicción de garantía y de suprema interpretación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acuerdo con lo expuesto, lo que en este caso se hace es inadmitir una demanda de amparo que, cumpliendo los requisitos procesales básicos, y poseyendo claramente trascendencia constitucional al tratarse de una demanda que afecta a una reforma de la Constitución, se entiende que no denuncia ninguna lesión susceptible de ser apreciada. Pero ello se produce, hay que insistir en ello, en un juicio liminar, ictu oculi, sin tramitar el juicio de amparo de manera plena, y un juicio que da respuesta a una demanda suscitada por Diputados, representantes de la Nación española, que han participado en el procedimiento legislativo de reforma denunciando irregularidades en el mismo.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además, desde el punto de vista material o sustantivo, se inadmite después de llevar a cabo, como se pone de manifiesto con una lectura somera del Auto, un juicio de manifiesta complejidad técnica y de trascendencia constitucional ya que versa sobre una cuestión sin casi previa doctrina constitucional, dada su novedad, como es el desarrollo del procedimiento parlamentario de reforma constitucional y la posición de los representantes del pueblo en ese procedimiento, y, por tanto, del respeto a los derechos fundamentales del art. 23 CE. Insisto en que posiblemente la solución final a alcanzar después de un examen completo, oídas las partes previstas al efecto (y no sólo los demandantes), pudiera concluir en un pronunciamiento desestimatorio, pero el Tribunal Constitucional no puede anticipar dicho juicio de forma tan liminar ni debe renunciar a llevarlo a cabo en Sentencia. Una cuestión técnicamente compleja, novedosa, de evidente interés constitucional, suscitada por parlamentarios representantes del pueblo español no debería haberse inadmitido a trámite sino que debería haber sido objeto de un pronunciamiento más reposado y tras un análisis procesalmente completo de las cuestiones planteadas. Al no haberlo hecho así creo que flaco favor se ha hecho a la interpretación constitucional, a la propia legitimidad institucional del Tribunal Constitucional y a la legitimidad misma de la reforma constitucional llevada a cabo.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Valencia, a trece de enero de dos mil doce.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Luis Ignacio Ortega Álvarez al Auto dictado en el recurso de amparo núm. 5241-2011.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de los argumentos de procedimiento desarrollados respecto de este mismo asunto por el Magistrado don Pablo Pérez Tremps en su Voto particular al que me adhiero en su totalidad, quiero desarrollar otros dos de contenido material relativos al papel de este Tribunal ante los procesos de reforma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Estoy conforme con lo señalado en el Auto al que se refiere este Voto particular, cuando se declara que el constituyente ha querido dejar separados los procesos de reforma contemplados en los artículos 167 y 168 CE y que esa claridad debe ser respetada por este Tribunal. Sin embargo, aunque bien es cierto que no hay una afirmación en contrario, hubiese sido más acorde con la función de control y tutela de la Constitución que este Tribunal tiene encomendada el haber establecido expresamente una reserva de conocimiento y examen del contenido de las reformas constitucionales realizadas, para evitar que, presentada la reforma de una parte de la Constitución a la que formalmente correspondería el procedimiento del artículo 167 CE, materialmente se estuviese produciendo también una variación sustancial de las partes de la Constitución cuya reforma exige adoptar el procedimiento del artículo 168 CE. Por ejemplo, si se pretendiese una reforma de los artículos 147 y 152 CE en el sentido de que expresamente se prohibiese a los Estatutos de Autonomía la posibilidad de incluir entre las instituciones autonómicas las Asambleas legislativas (artículos para cuya reforma corresponde el procedimiento del artículo 167 CE) cabría preguntarse si esta reforma no estaría afectando también al artículo 2 CE, para cuya reforma sí se exige el procedimiento del artículo 168.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Igualmente, considero que el Tribunal podría haber establecido el criterio de la necesidad de distinción entre los procedimientos parlamentarios legislativos, en los que las Cortes como institución y los representantes del pueblo actúan como órganos y poderes constituidos y los procedimientos parlamentarios de reforma constitucional, en los que actúan como poder constituyente. Como defensor de la Constitución, este Tribunal podría haber exigido que se respetase el valor supraordenado de la norma Constitucional respecto de los productos normativos emanados de las Cámaras legislativas.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corresponder a este Tribunal establecer los términos concretos de dicha diferencia de procedimiento parlamentario, si hubiese sido posible a mi juicio, el declarar la necesidad de establecer tal diferencia en respeto de la diferente condición de las Cortes Generales cuando actúan como órgano constituido a cuando lo hacen como órgano constituyente.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voto favorable se explica en la consideración de evitar que este Tribunal pudiese invadir el terreno que le corresponde al poder legislativo, pero considero que esta reflexión debería haber formado parte del cuerpo de la decisión sobre este asunto.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Valencia, a trece de enero de dos mil doce.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