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2516-2010, promovido por don Jorge González Endemaño, representado por el Procurador de los Tribunales don José Javier Cuevas Rivas y asistido por la Abogada doña Haizea Ziluaga Larreategi, contra el Auto de 21 de enero de 2010 de la Sala Segunda del Tribunal Supremo y contra los Autos de 29 de junio y 6 de mayo de 2009 dictados por la Sección Tercera de la Sala de lo Penal de la Audiencia Nacional.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2010, el Procurador de los Tribunales don José Javier Cuevas Rivas, en nombre y representación de don Jorge González Endemaño,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González Endemaño fue condenado por la Sala de lo Penal de la Audiencia Nacional, Sección Tercera, mediante Sentencia de 14 de julio de 1998 (rollo de Sala 56-1995, sumario 54-1995 del Juzgado Central de Instrucción núm. 4), en calidad de autor de los delitos de atentado en relación con el de asesinato, de asesinato frustrado y de tenencia ilícita de armas a las penas de treinta, veinte y tres años de prisión, respectivamente, afirmándose en su fundamento de Derecho primero que la legislación más favorable es la del Código penal (CP) de 1973 porque “imponiendo penas muy similares al del actualmente vigente, sin embargo permite una reducción muy sensible de las mismas por medio de las reducciones ordinarias y extraordinarias que regula”. El señor González Endemaño fue condenado también, por Sentencia de la misma Sala y Sección de la Audiencia Nacional de 3 de diciembre de 2001 (rollo de Sala 84-1996, Sumario 70-1996 del Juzgado Central de Instrucción núm. 4), como autor de los delitos de integración en banda armada, de depósito de armas y de tenencia de explosivos a la penas de diez, siete y siete años de prisión,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Juez de vigilancia penitenciaria núm. 1 de Andalucía suscribió liquidación de condena de fecha 8 de noviembre de 2001, en la que se aprueba una propuesta de redención de penas por el trabajo, sin indicar si esa reducción se aplicará al límite de cumplimiento o a cada una de las penas. Posteriormente, la Sección Tercera de la Sala de lo Penal de la Audiencia Nacional, luego de rectificar un error material en la suma de las condenas impuestas por la segunda Sentencia (veinticuatro años), aprueba liquidación de condena de fecha 10 de diciembre de 2002 en la que se indica que dichas penas comenzarán a cumplirse el 8 de enero de 2025 y, en consecuencia, su cumplimiento será el 1 de enero de 2049, acusando recibo de esa liquidación el Director del centro penitenciario mediante escrito de 9 de enero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recibido el 11 de febrero de 2009 el interno Jorge González Endemaño interesa de la Sala la determinación del límite máximo de treinta años de cumplimiento de las penas impuestas en las Sentencias condenatorias referidas ut supra. La Sala de lo Penal de la Audiencia Nacional, Sección Tercera, acordó por Auto de 6 de mayo de 2009 “[a]cumular todas las penas de prisión impuestas en las Sentencias dictadas por esta Sección Tercera nº 31/98, de 14 de julio (Ejec. 27/01), y nº 29/01, de 3 de diciembre (Ejec. 30/02), relacionadas en los antecedentes de esta resolución para su cumplimiento sucesivo por el penado, con la limitación del máximo de cumplimiento de treinta años de prisión y con sujeción a lo expresado en el precedente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este Auto se formuló recurso de súplica, desestimado por Auto de la misma Sala y Sección de 29 de junio de 2009. A su vez contra este otro Auto se dedujo recurso de casación, inadmitido por Auto de 21 de enero de 2010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las resoluciones impugnadas la aplicación de la nueva doctrina de la Sala de lo Penal del Tribunal Supremo sentada en la Sentencia núm. 197/2006, de 20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20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cuanto garantiza la intangibilidad de las resoluciones judiciales firmes, en relación con el derecho a la libertad (art. 17.1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(en su caso, el Auto de 8 de noviembre de 2001 del Juez de vigilancia penitenciaria núm. 1 de Andalucía), intangibles y firmes, aplicadas (como se venía haciendo) al tope de treinta años, suponían una expectativa de importante acortamiento de su condena. Además, argumenta que la Sentencia de 14 de julio de 1998 de la Sala de lo Penal de la Audiencia Nacional, Sección Tercera, estableció de modo firme e intangible que las redenciones por trabajo se aplicaban a la fecha límite de cumplimiento, pues se lee en su fundamento de derecho primero que la legislación más favorable es la del Código penal de 1973 porque “imponiendo penas muy similares al del actualmente vigente, sin embargo permite una reducción muy sensible de las mismas por medio de las reducciones ordinarias y extraordinarias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20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20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20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20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 este Tribunal acordó la admisión a trámite de la demanda de amparo y, a tenor de lo dispuesto en el art. 51 de la Ley Orgánica del Tribunal Constitucional (LOTC), requerir atentamente a la Sección Tercera de la Sala de lo Penal de la Audiencia Nacional para que en el plazo de diez días remitiera testimonio de las ejecutorias referidas ut supra,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Segunda de 14 de junio de 2011 se tuvo por personada y parte en el procedimiento a la Procuradora doña María Esperanza Álvaro Mateo en nombre y representación de la Asociación de Víctimas del Terrorismo, y asimismo se procedió,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Asociación de Víctimas del Terrorismo presentó su escrito de alegaciones en este Tribunal el 15 de julio de 2011, oponiéndose a todos los motivos de amparo en el mismo orden que los expuso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término, que la acumulación de penas acordada en el Auto de 6 de mayo de 2009 fue a instancia del recurrente, formulada por él cuando ya era de público conocimiento que la Sala de lo Penal del Tribunal Supremo en su Sentencia núm. 197/2006, de 28 de febrero, había fijado un nuevo criterio sobre la aplicación de los beneficios penitenciarios, de modo que no se puede decir que no haya podido alegar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que las resoluciones impugnadas, aun cuando interpretan los criterios para liquidar los beneficios penitenciarios de un modo menos favorable al recurrente que antes de la citada STS 197/2006, lo hacen “respetando en todo momento el derecho del penado establecido en el Código Penal a que dicho límite [el límite de 30 años de estancia en prisión] no sea superado. De esta manera las resoluciones recurridas son ajustadas a derecho y respetuosas con los principios de legalidad penal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incide en que “los autos recurridos no modifican en ningún momento el límite máximo de cumplimiento de prisión fijado en treinta años ni anula las redenciones que han sido aprobadas por los Juzgados de Vigilancia Penitenciaria, simplemente determina la forma en la que dichas redenciones deben de ser aplicadas sin contradecir resoluciones judiciales firmes. Asimismo ocurre con las sentencias por las que fue condenado el Sr. Jorge González… Dichas sentencias hablan del límite máximo de estancia en prisión del Sr. Jorge González que en ningún caso deberá exceder los treinta años, sin hablar en ningún momento de la forma en que deben de ser aplicados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nos encontramos, sigue diciendo, “ante la aplicación con carácter retroactivo de una norma penal desfavorable, nos encontramos en todo caso ante un cambio jurisprudencial que afecta no a la aplicación de un precepto legal sino a la interpretación sobre la aplicación que debe de hacerse de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opone a que se haya vulnerado el derecho a la igualdad ante la ley, pues “la interpretación llevada a cabo por el tribunal Supremo en su sentencia nº 197/2006 no es una interpretación ni arbitraria, ni irrazonable ni ilógica y ha sido dictada en el ejercicio de la función jurisdiccional que le corresponde sobre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su oposición al motivo sexto de amparo se remite a lo argumentado en las consideraciones tercera y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por lo que hace a la alegada lesión del art. 25.2 CE, arguye que “la reinserción no es el fin único de la pena sino que debe de ser armonizado junto con otros fines como pueden ser el de protección social”. Además, si bien “es cierto que los beneficios penitenciarios están orientados a una finalidad resocializadora del interno … esa finalidad es orientativa de la forma de ejecutar la condena, no de su extensión. Ésta, la extensión de la condena, está sometida a la prohibición de tratos inhumanos o degradantes, como sería el caso de la cadena perpetua no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en este Tribunal el 18 de julio de 2011, en el que ratifica las formuladas en la demanda de amparo, las cuales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19 de julio de 2011, interesando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sosteniendo que el primero de los motivos de amparo recogidos en la demanda carece manifiestamente de fundamento “desde el mismo momento en que, por dos ocasiones, la representación del actor ha hecho uso efectivo de este derecho a ser oído, en primer lugar, cuando interpuso recurso de súplica contra el auto de 6 de mayo de 2009” y posteriormente cuando recurrió en casación el Auto de 29 de junio de 2009, formulando en ambas ocasiones las alegaciones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por razones sistemáticas procede abordar el resto de motivos de modo distinto al propuesto en la demanda de amparo. Es por ello que empieza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Ministerio Fiscal que los motivos segundo y cuarto tengan suficiente eficacia suasoria. De un lado, “no parece que en el caso de autos, y a los efectos de una posible vulneración del principio de legalidad (art. 25.1) la interpretación que las resoluciones judiciales ahora recurridas en amparo hacen del art. 70.2 CP 1973 en exégesis derivada de la STS (Pleno de la Sala 2ª TS)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 De otro, “no tiene fundamento alguno sostener que se han vulnerado dicho principio de irretroactividad de la ley penal por haber hecho aplicación del contenido del art. 78 CP1995 bajo el ropaje aparente del art. 70.2 CP1973, toda vez que el precepto que se ha aplicado ha sido siempre el art. 70.2 CP1973, de vigencia al tiempo de comisión de los hechos, y sobre el que ha recaído la interpretación sentada en la Sentencia de la Sala de lo Penal del Tribunal Supremo núm. 197/2006, de 20 de febrero, y no el art. 78 CP1995”.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la Sentencia de la Sala Segunda del Tribunal Supremo a la que se atribuye el cambio de criterio había recogido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conjuntamente a los derechos fundamentales alegados en los motivos tercero y sexto. Afirma que “es evidente que el núcleo del problema reside en que la Sección 3ª de la Sala de lo Penal de la Audiencia Nacional asume en las resoluciones objeto de la demanda de amparo los criterios expresados por la Sala Segunda del Tribunal Supremo en su sentencia del Pleno, STS 197/2006, de 28 de febrero”. Y acto seguido que “en el presente caso no puede hablarse, a diferencia de otros similares, de la posibilidad de sustentar el amparo en la vulneración del derecho fundamental a la intangibilidad de las resoluciones judiciales (art. 24.1 CE). Ello es así por cuanto en el caso que examinamos no ha existido resolución alguna previa que determinara, vía refundición o acumulación de condenas, no sólo el tiempo máximo de cumplimiento de conformidad con la regla 2 del art. 70 del CP 1973, sino los extremos de cómputo de los beneficios de redención de penas por el trabajo que le correspondiera por cada condena impuesta. Muy al contrario el actual demandante de amparo que fue condenado en dos sentencias, de 14 de mayo de 1998 y 3 de diciembre de 2001, en dos causas diferentes, ambas por la Sección 3ª de la Sala de lo Penal de la Audiencia Nacional, a diversas penas privativas de libertad, sólo interesó la refundición y la fijación de un tiempo máximo de cumplimiento de tales penas a la luz del art. 70.2 CP 1973 en un escrito manuscrito de fecha 3 de febrero de 2009 que desencadenó las resoluciones judiciales que ahora se impugnan en amparo. Hasta ese momento sólo se habían practicado sendas liquidaciones individualizadas de condena tanto por la Secretaría de la Sala y por el Centro Penitenciario de Algeciras en el que se encontraba interno el reo. Así y tras rectificar un error el CP aludido estableció el 9 de enero de 2002 (rectius 2003) la fecha de licenciamiento definitivo de aquél en una de las causas fijándola en el 1 de enero de 2049”.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propuesta de la Sala Segunda, el Pleno, en su reunión de 13 de septiembre de 2011 y conforme al art. 10.1 n) LOTC,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presentó en este Tribunal escrito de fecha 5 de diciembre de 2011 solicitando la suspensión de los efectos de la aplicación de la Sentencia del Tribunal Supremo 197/2006, de 28 de febrero, pues a su juicio está produciendo tal perjuicio al recurrente que hace perder al amparo su finalidad. El Pleno, mediante providencia de 20 de diciembre de 2011, acordó que “no ha lugar a lo solicitado en el mismo, toda vez que la suspensión interesada se refiere a una resolución judicial (STS 197/2006, de 28 de febrero) no recurrida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21 de enero de 2010 de la Sala Segunda del Tribunal Supremo que inadmitió el recurso de casación contra el Auto de 29 de junio de 2009 de la Sección Tercera de la Sala de lo Penal de la Audiencia Nacional, que a su vez desestimó el recurso de súplica presentado contra el Auto de 6 de mayo de 2009, por el que se acordó que las penas acumuladas impuestas al demandante se cumplieran sucesivamente con la limitación del máximo de cumplimiento de treinta años de prisión, sin perjuicio de las redenciones que le pudieran ser aplicadas en su día, conforme al criterio de la Sentencia núm. 197/2006, de 28 de febrero, de la Sala Segunda del Tribunal Supremo. 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(art. 25.1 y 25.2 CE), a la libertad personal (art. 17.1 CE) y a la igualdad en la aplicación de la ley (art. 14 CE), con los argumentos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por las razones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representación procesal de la Asociación de Víctimas del Terrorismo solicita la desestimación del recurso con arreglo a las alegaciones relacionadas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ha de ser inadmitida, al concurrir respecto de ella el óbice procesal de falta de invocación ante los órganos de la jurisdicción ordinaria [art. 44.1 c) de la Ley Orgánica del Tribunal Constitucional]. En efecto, de la mera lectura del recurso de súplica interpuesto contra el Auto de 6 de mayo de 2009 de la Sección Tercera de la Sala de lo Penal de la Audiencia Nacional se desprende que el recurrente articuló una serie de motivos de recurso para oponerse a esa nueva perspectiva jurídica en el cómputo de las redenciones (lo que excluiría según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se denuncia —como ya anticipamos—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usado hasta ese momento el recurrente vería que las reducciones correspondientes al trabajo de los catorce años que van desde que entró en prisión preventiva hasta el Auto de 6 de mayo de 2009 se aplicarían al límite máximo de treinta años, en aplicación del nuevo criterio se restarían de la suma total de las penas impuestas (cincuenta y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no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de la Audiencia Nacional que se impugnan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que las reducciones correspondientes al trabajo de los catorce años que van desde que entró en prisión preventiva hasta el Auto de 6 de mayo de 2009 se aplicarían al límite máximo de treinta años y no a la suma total de las penas impuestas (cincuenta y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del extracto de la primera Sentencia condenatoria alegado por el recurrente y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González Endemaño fue condenado en julio de 1998 en calidad de autor de los delitos de atentado en relación con el de asesinato, de asesinato frustrado y de tenencia ilícita de armas a las penas de treinta, veinte y tres años de prisión, respectivamente. En el fundamento de Derecho primero de esa Sentencia se afirmó que la legislación más favorable es la del Código penal de 1973 porque “imponiendo penas muy similares al del actualmente vigente, sin embargo permite una reducción muy sensible de las mismas por medio de las reducciones ordinarias y extraordinarias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 condenado también en diciembre de 2001 como autor de los delitos de integración en banda armada, de depósito de armas y de tenencia de explosivos a la penas de diez, siete y siete años de prisión,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Juez de vigilancia penitenciaria núm. 1 de Andalucía aprobó periódicamente las propuestas de redención de los centros penitenciarios, entre ellos el auto de liquidación de condena alegado por el recurrente de 8 de noviembre de 2001, en el que se aprueba una propuesta de redención de penas por el trabajo, sin indicar si esa reducción se aplicará al límite de cumplimiento o a cada una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Penal de la Audiencia Nacional, en tiempo en que aún no se había acordado la acumulación de las penas impuestas en las dos Sentencias, y dado que las de la primera condena terminarían de cumplirse el 8 de enero de 2025, aprueba liquidación de condena de fecha 10 de diciembre de 2002 en la que se indica que el cumplimiento de las impuestas por la segunda Sentencia se producirá el 1 de enero de 2049.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recibido el 11 de febrero de 2009 el interno don Jorge González Endemaño interesa de la Sala la acumulación de las penas impuestas en ambas Sentencias y la determinación del límite máximo de treinta años de cumplimiento. La Sala de lo Penal de la Audiencia Nacional, Sección Tercera, acordó por Auto de 6 de mayo de 2009 “[a]cumular todas las penas de prisión impuestas en las Sentencias dictadas por esta Sección Tercera nº 31/98, de 14 de julio (Ejec. 27/01), y nº 29/01, de 3 de diciembre (Ejec. 30/02), relacionadas en los antecedentes de esta resolución para su cumplimiento sucesivo por el penado, con la limitación del máximo de cumplimiento de treinta años de prisión y con sujeción a lo expresado en el precedente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se refiere el recurrente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extracto del fundamento de derecho primero de la Sentencia de 14 julio de 1998 adviértase que, además que se pronuncia sobre la existencia de reducciones ordinarias y extraordinarias en el Código penal de 1973 pero no sobre el modo de realizar su cómputo, lo que resulta determinante es que ese pronunciamiento se realiza en un momento en que no sólo no se han acumulado las penas de la primera y segunda condena sino, aún más, dicha segunda condena ni siquiera ha recaído. En ese contexto no es posible sostener que allí se esté estableciendo, con los efectos de firmeza e intangibilidad consiguientes, el criterio de cómputo de las redenciones de pena que el recurrente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de 6 de mayo de 2009 que acordó la acumulación de las penas impuestas por ambas Sentencias y que se cumplieran conforme al criterio de cómputo fijado por la STS 197/2006 (y las resoluciones judiciales que lo ratificaron) no dejó sin efecto dichas redenciones sino que, en ejercicio de las competencias que legalmente tiene atribuidas, las computó sucesivamente sobre el conjunto de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Jorge González Endemaño.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2516-2010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