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7745-2007, interpuesto por la Comunidad de Madrid contra el apartado 20 del artículo único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en cuya virtud se modifica el apartado 7 del art. 73 de dicha Ley; y, asimismo, contra la disposición final primera de la misma Ley 12/2007, de 2 de julio. Ha intervenido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octubre de 2007 tuvo entrada en el Registro General de este Tribunal Constitucional escrito del Letrado del Consejo de Gobierno de la Comunidad Autónoma de Madrid, en nombre y representación de la misma, interponiendo recurso de inconstitucionalidad contra el apartado 20 del artículo único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en cuya virtud se modifica el apartado 7 del art. 73 de dicha Ley; y, asimismo, contra la disposición final primera de la misma Ley 12/2007,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el escrito de interposición del recurso justifica el cumplimiento de los requisitos procesales para su interposición, con especial detenimiento en el relativo a la legitimación de la Comunidad Autónoma para interponer el recurso. Tras reproducir parcialmente las SSTC 96/2002, de 25 de abril y 68/2007, de 28 de marzo, afirma la conexión entre las competencias de la Comunidad de Madrid y los preceptos impugnados que se aprueban por el Estado de acuerdo con lo establecido en el art. 149.1.13 y 25 de la Constitución. Señala que en relación con dichos ámbitos la Comunidad de Madrid, de acuerdo con su Estatuto de Autonomía, tiene competencia exclusiva en materia de “instalaciones de producción, distribución y transporte de cualesquiera energía, cuando el transporte no salga de su territorio y su aprovechamiento no afecte a otra Comunidad” (art. 16.1.11), “fomento del desarrollo económico de la Comunidad de Madrid, dentro de los objetivos marcados por la política económica general” (art. 26.1.17), “ordenación y planificación de la actividad económica general” (art. 26.3.1.1), “industria, sin perjuicio de lo que determinen las normas del Estado por razones de seguridad, sanitarias o de interés militar y las normas relacionadas con las industrias que estén sujetas a la legislación de minas, hidrocarburos y energía nuclear” (art. 26.3.1.3) y, por último, en el marco de la legislación básica del Estado y, en su caso, en los términos que la misma establezca, corresponde a la Comunidad de Madrid el desarrollo legislativo, la potestad reglamentaria y la ejecución en materia de “régimen minero y energético” (art. 27.8). Así, el Estado al atribuir carácter básico al apartado 7 del art. 73 de la Ley 34/1998, de 7 de octubre, impide a la Comunidad Autónoma ejercer sus competencias de desarrollo normativo y ejecución, y de planificación económica en su ámbito territorial, vaciando, por tanto, las competencias autonómicas en la materia, por lo que considera que la Comunidad de Madrid está legitimada para interponer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fondo de la cuestión, alega, en primer lugar, que el precepto legal impugnado infringe el art. 149.1, reglas 13 y 25, CE. Así, señala que, en relación con el régimen jurídico de las autorizaciones de instalaciones de distribución de gas natural, la modificación operada por el apartado veinte del art. único de la Ley 12/2007, de 2 de julio, que tiene carácter básico en virtud de la disposición final primera de la misma Ley, ha cambiado sustancialmente el panorama anterior. La obligación de conceder las autorizaciones de construcción y explotación de instalaciones de distribución de gas natural preferentemente a la empresa que ya cuente con autorización administrativa previa para la zona y, en su defecto, los criterios que se establecen (monopolio natural, red única, menor coste, etc.) conducen a una situación en la que, a partir de ahora, en la mayoría de los casos se deberán otorgar tales autorizaciones a los distribuidores que ya cuentan con autorización previa procedente de la extinción de las antiguas concesiones y su consiguiente transformación en autorizaciones ope legis, perpetuando de este modo el escenario de distribución gasística existente bajo el régimen anterior a la actual Ley del sector de hidrocarburos, hecho que se aprecia notoriamente en el caso del municipio de Madrid y la empresa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recuerda el Letrado de la Comunidad de Madrid que en un ámbito igualmente regulado y, además, calificado como servicio esencial, como es el eléctrico, se concede a las Comunidades Autónomas un margen mayor de actuación en relación con los criterios de concesión de las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manifiesta que la nueva redacción del art. 73.7 de la Ley 34/1998, infringe el art. 149.1.13 y 25 CE por cuanto, dado su carácter básico, al establecer los criterios para otorgar autorizaciones de construcción y explotación excede del concepto material de bases estatales que viene acogiendo el Tribunal Constitucional, agotando las posibilidades que, con arreglo a sus propias competencias, ostentan las Comunidades Autónomas de desarrollo y complemento de la ley con arreglo a las peculiaridades del subsector en su ámbito territorial. En este sentido recuerda la doctrina constitucional sobre el concepto material de bases estatales y, aplicando esta doctrina a este caso, afirma que el nuevo contenido del art. 73.7 de la Ley del sector de hidrocarburos no es materialmente básico en los términos transcritos, sino que, traspasando los límites del interés general, entra a regular aspectos cuya concreción debería corresponder a las Comunidades Autónomas atendiendo a las particularidades concurrentes. A su juicio, el legislador estatal debió permitir a las Comunidades Autónomas definir los criterios objetivos con arreglo a los cuales se concederían las autorizaciones de construcción y explotación de instalaciones. Al establecer que tal autorización se conceda preferentemente al distribuidor autorizado en la zona y, sólo caso de no existir éste, sean de aplicación los restantes criterios, se está impidiendo indirectamente que las Comunidades Autónomas otorguen autorizaciones en concurrencia, al deberse otorgar tal autorización en la mayoría de los casos a los distribuidores cuyas autorizaciones para las zonas de distribución procedían de las antiguas concesiones, perpetuando, por tanto, en lo sustancial, el panorama de distribución que existía en el régimen anterior a la Ley general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de Madrid la norma impugnada también vulnera la legislación comunitaria que dice estar trasponiendo y recuerda la doctrina constitucional según la cual el ingreso de España en la Unión Europea y la consiguiente transposición de las normas de Derecho comunitario derivado no alteran las reglas constitucionales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considera también el Letrado de la Comunidad de Madrid que la nueva redacción dada al apartado 7 del art. 73 de la Ley 34/1998, de 7 de octubre, conculca los arts. 38 y 9.3 CE. Tras recordar la doctrina constitucional sobre ambos artículos señala que el precepto impugnado, en la medida en que no permite concurrir en igualdad de condiciones a todas las empresas distribuidoras para obtener autorización de construcción o explotación, en detrimento de aquella que tuviese ya otorgada la autorización en la zona, impide sostener la actividad empresarial en libertad. Asimismo considera que dicha norma conculca también el principio de interdicción de la arbitrariedad, pues no se limita a plasmar una opción política del legislador, sino que contiene una auténtica discriminación que afecta a las empresas distribuidoras que no ostenten la condición de autorizadas en la zona, y ello sin justificación alguna de índole técnica que permita defender tal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 la inconstitucionalidad y, consiguientemente, la nulidad del apartado 7 del art. 73 de la Ley 34/1998, de 7 de octubre, del sector de hidrocarburos y de la disposición final primera de la misma Ley, en la medida en que confiere carácter básico al precepto anterior, en la redacción dada a los mismos por el apartado veinte del art. único de la Ley 12/2007,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este Tribunal de 23 de octubre de 2007 se admitió a trámite el recurso de inconstitucionalidad y se acordó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31 de octubre de 2007, se personó en el procedimiento, solicitando prórroga, por el máximo legal, del plazo concedido para formular alegaciones. El Pleno, por providencia de fecha 5 de noviembre de 2007, acordó incorporar a las actuaciones el escrito presentado por el Abogado del Estado, teniéndole por personado en la representación que legalmente ostenta, prorrogando en ocho días más el plazo inicialmente concedido por providencia de 23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3 de diciembre de 2007 presentó su escrito de alegaciones en el que se opone a las pretensiones deducidas por las razones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escrito exponiendo cuál es el objeto del recurso y, dado que el mismo se desenvuelve en el ámbito de una materia cuya competencia administrativa es compartida por la Administración autonómica y la estatal, examina los títulos competenciales en base a los cuales se ha de repartir. Tras dicho examen concluye afirmando que la contienda competencial gira, en realidad, más que respecto de la inclusión del precepto cuestionado en un determinado ámbito material, en torno a su posible calificación como bases del régimen de la materia de encuadramiento, resultando de las alegaciones de la Comunidad que las materias aludidas en cuanto a dicho encuadramiento consisten, en suma, en las de “instalación de producción, distribución y transporte de cualesquiera energía”, “ordenación y planificación de la actividad económica regional”, “industria” y “régimen energético”. En cualquier caso, a su juicio, las alegaciones de la Comunidad de Madrid alusivas al encuadramiento concreto del precepto en cada una de dichas materias se limitan a una invocación genérica de los títulos referidos, sin ninguna concreción específica sobre su proyección en el precepto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línea con lo declarado en la STC 223/2000, y al objeto de precisar dicha calificación material, resulta inapropiado su encuadramiento en la materia de “industria” (art. 26.3.1.3 Estatuto de Autonomía de Madrid: EAM) y en el título a ella referente, al resultar su conexión con la misma lejana y mediata. Por el contrario, considera adecuada la inclusión del precepto recurrido en la materia definida en el art. 26.1.11 EAM, siendo quizás la previsión más próxima a aquél la alusiva a distribución, no así a producción o transporte. Asimismo, el encuadramiento del precepto en la materia “régimen energético” (arts. 149.1.25 CE y 27.8 EAM), se considera posible por el Abogado del Estado, pues el gas natural constituye fuente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conforme a la doctrina sentada por este Tribunal en la STC 197/1996, cuando corresponde al Estado la titularidad de la competencia para dictar la normativa básica en materia de planificación general de la economía, así como la de un sector económico determinado, como es el energético y dentro de éste el gasístico, es posible que el Estado defina un modelo general del sector económico correspondiente y regule las medidas o acciones singulares que sean necesarias para alcanzar los fines propuestos en el correspondiente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su entender, resulta que en el presente caso corresponde al Estado la competencia para regular la ordenación del sector energético, y dentro de éste el subsector gasístico, y todas aquellas actuaciones necesarias para alcanzar los fines propuestos en esa regulación; y a la Comunidad de Madrid corresponden las competencias de desarrollo normativo y ejecutiva, respetando las bases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fijados los ámbitos materiales de encuadramiento y precisado el alcance de los títulos del Estado, el Abogado del Estado analiza la integración del precepto recurrido en el concepto de normativa básica y para ello analiza, en primer lugar, el sentido general de la modificación que contiene la Ley 12/2007, insertándola en el contexto normativo a que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tanto el ordenamiento jurídico comunitario como el nacional establecen una regulación destinada a favorecer el monopolio natural en la construcción de la red-distribución y a fomentar la competencia en el acceso y utilización de la red-comercialización o suministro de gas al cliente final, utilizando las infraestructuras del distribuidor. Añade que el monopolio natural se traduce en que donde previamente existe una red o “tubo” no debiera construirse otro. De esta forma, si una compañía distribuidora ha construido una red para abastecer de gas a un municipio iría contra el monopolio natural que otra compañía construyera la suya propia, de manera que quien pretenda suministrar gas debiera aprovechar la red ya existente. Recuerda el Abogado del Estado que éste es un modelo aplicado a todos los sectores económicos en que existe una red única que han de poder utilizar varios operadores y que en la elaboración de este principio de monopolio natural aparecen como antecedentes la Ley 34/1998, del sector de hidrocarburos, la Directiva 2003/55/CE, del Parlamento Europeo y del Consejo de 26 de junio de 2003, sobre normas comunes para el mercado interior del gas natural y el Real Decreto-ley 5/2005, de 11 de marzo, de reformas urgentes para el impulso a la productividad y para la mejora de la contratación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Abogado del Estado que por razones de eficiencia y economía, ínsitas en la aplicación del monopolio natural, se trata de favorecer que el distribuidor que tiene instalaciones en una zona, la extienda al resto de la misma. Existe una competencia absoluta, objetiva y transparente para seleccionar el distribuidor que tiene derecho a gasificar una nueva zona; y una vez se designe el distribuidor que ha de gasificar una zona, la preferencia que al mismo se le otorga limita en cierto modo la entrada de nuevos distribuidores en dicha zona, sin perjuicio del derecho que toda empresa interesada tiene para utilizar en condiciones de igualdad las infraestructuras de los distribuidores.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analizar el monopolio natural en las instalaciones de distribución de gas natural el Abogado del Estado examina la configuración estatal del sistema económico integrado del sector de gas natural. Para el Abogado del Estado estamos ante un supuesto típico de ejercicio de competencias básicas para la ordenación de un sector económico que requiere de una gestión única. Así, señala que en el sector de gas natural las actividades de transporte y distribución son actividades reguladas, cuyo régimen económico está determinado por una retribución fijada por el Ministerio de Industria, Comercio y Turismo de acuerdo con los criterios establecidos en el Real Decreto 949/2001, de 3 de agosto, por el que se regula el acceso de terceros a las instalaciones gasistas y se establece un sistema económico integrado del sector de gas natural. El Ministerio de Industria, Comercio y Turismo, basándose en los criterios fijados en el art. 15 del Real Decreto 949/2001, será quien fije la retribución de las empresas que realicen las actividades reguladas de transporte o distribución. Una vez determinada la cantidad necesaria para la retribución de estas empresas, y con una estimación de la demanda prevista, la Administración establecerá las tarifas, peajes y cánones que deben pagar los usuarios de las instalaciones y los consumidores a tarifa, con el fin de recaudar lo suficiente para cubrir dichas retribuciones. Es decir, indica el Abogado del Estado, el sistema económico integrado supone que las inversiones realizadas por todas las empresas reguladas tienen una repercusión directa en las tarifas que pagan todos los usuarios del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ya a los preceptos contra los que de dirige el recurso de inconstitucionalidad, señala el Abogado del Estado que del tenor literal del apartado 7 del art. 73 de la Ley del sector de hidrocarburos, se desprende que tan sólo trata de establecer una preferencia, no una obligación de otorgar la autorización al distribuidor de zona. El término “preferentemente” implica la posibilidad de que la adjudicación sea a favor de otra empresa, siempre que se haya tenido en cuenta la oferta del distribuidor de la zona y siempre que se haya ponderado, antes del otorgamiento, la ventaja objetiva indudable que para el sistema venga a suponer ser distribuidor de la zona. Para el Abogado del Estado la nueva redacción del art. 73.7 de la Ley del sector de hidrocarburos se limita a concretar el principio del monopolio natural, admitido pacíficamente por la legislación comunitaria y nacional, introduciendo, entre los criterios a tener en cuenta para la concesión de autorizaciones, la preferencia por el distribuidor de la zona. De esta forma, a su juicio, el Estado, al establecer un criterio de adjudicación de obligatoria ponderación en tanto afecta al conjunto del sistema retributivo, se limita a ejercitar su competencia para fijar las bases de la planificación general de la actividad económica en el ámbito del sector gasístico.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posibilidad de que determinada actividad ejecutiva sea calificada como “básica”, señala que las autorizaciones de construcción y explotación de instalaciones de distribución afectan, por sí mismas, a la ordenación de la economía nacional (art. 149.1.13 CE) y de ahí deriva, precisamente, su consideración como básicas. La existencia de un criterio uniforme y centralizado para su otorgamiento justifica que así sea. Indica que los criterios que se fijen para otorgar las autorizaciones es evidente que van a producir consecuencias en el régimen económico nacional de suministro de combustibles gaseosos. A su juicio, si la Ley ha optado por un sistema económico integrado en el que las inversiones que lleven a cabo las empresas encargadas de las actividades de transporte y distribución van a repercutirse directamente en las tarifas que satisfacen los usuarios del gas natural, la gestión que requiere este esquema debe extenderse no solo a su funcionamiento normal sino también a las medidas excepcionales que se adopten y tengan influencia en los costes de transporte y distribución del gas natural. Por ello, a su entender, si estas desviaciones en los costes se van a financiar con cargo al sistema “nacional”, será necesario que se produzca una unidad de gestión que evite desequilibrios o desigualdades impuestas unilateralmente por una de las zonas sobre el total del sistema. En consecuencia, señala que la competencia de las Comunidades Autónomas en materia de otorgamiento de autorizaciones de distribución no puede alcanzar a la definición de los criterios generales que se han de tener en cuenta en el momento de su otorgamiento y compete al Estado, en su función de ordenación general de la actividad económica, garantizar una serie de criterios uniformes a observar en dicho otorgamiento que sean de aplicación en todo el territorio nacional. Añade que si bien la Comunidad Autónoma de Madrid puede aprobar una orden que regule la concurrencia, lo que no puede hacer es aplicar el principio de concurrencia a unos supuestos en los que el Estado, al igual que la normativa comunitaria, considera más adecuado, por motivos de eficiencia, que haya un solo distribuidor (monopolio natural), al ser el propio Estado quien soporta los efectos económicos de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 vulneración del Derecho comunitario, señala el Abogado del Estado que esta alegación carece de todo fundamento en este recurso cuyo ámbito debe quedar reducido al enjuiciamiento constitucional de la modificación producida por la Ley 12/2007 en la Ley del sector de hidrocarburos. No obstante lo señalado, se opone a dicha alegación recordando la doctrina de este Tribunal que afirma que la normativa comunitaria nunca puede formar parte del marco de constitucionalidad, de modo que no puede alterar el orden constitucional de competencias, ni por ello puede servir nunca para justificar el ejercicio o abandono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en relación con la vulneración de los arts. 38 y 9.3 CE, señala el Abogado del Estado que con el art. 73.7 de la Ley del sector de hidrocarburos el legislador no pretende limitar o impedir la competencia sino evitar que la supresión absoluta del principio del monopolio natural produzca un aumento de costes que perjudique el funcionamiento del mercado incrementando el precio final a pagar por el consumidor. Enumera diversas Sentencias de este Tribunal sobre el derecho fundamental previsto en el art. 38 CE, de las que deduce que la libertad de empresa puede, y debe, estar regulada por reglas que disciplinen, proporcionada y razonablemente, el mercado y, para defender a terceros y a derechos constitucionalmente protegidos, puede estar sometida a control y autorización administrativa. Asimismo, considera que el art. 73.7 de la Ley del sector de hidrocarburos no vulnera el principio de la interdicción de la arbitrariedad de los poderes públicos (art. 9.3 CE) porque ni la medida adoptada establece una discriminación arbitraria, ni carece de una finalidad razonable. La fijación de los criterios a tener en cuenta en el otorgamiento de las autorizaciones de construcción y explotación de instalaciones de distribución es, a su juicio, una opción del legislador estatal y, si bien su decisión pudiera llegar a ser objeto de discusión técnica, ello no es suficiente para configurar un caso de arbitrariedad legislativa ni, en consecuencia, un supuesto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solicita que se dicte Sentencia declarando la plena constitucionalidad del apartado veinte del art. único y de la disposición final primera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junio de 2012 se señaló para deliberación y fallo de esta Sentencia el día 19 del mismo mes y año, trámite que ha finalizado en el día de hoy.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Consejo de Gobierno de la Comunidad de Madrid se dirige contra la nueva redacción que el art. único. 20, de la 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 otorga al apartado 7 del art. 73 de la Ley 34/1998, de 7 de octubre, del sector de hidrocarburos y contra la disposición final primera de la misma Ley 12/2007, de 2 de julio, en cuanto atribuye a dicho apartado el carácter de básico al amparo de los títulos competenciales recogidos en los números 13 y 25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único.20, de la Ley 12/2007, de 2 de julio, da nueva redacción al art. 73.7 de la Ley 34/1998, de 7 de octubre, del sector de hidrocarburos,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autorizaciones de construcción y explotación de instalaciones de distribución deberán ser otorgadas preferentemente a la empresa distribuidora de la zona. En caso de no existir distribuidor en la zona, se atenderá a los principios de monopolio natural del transporte y la distribución, red única y de realización al menor coste para 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final primera de la Ley 12/2007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Ley tiene carácter básico, de acuerdo con lo establecido en el artículo 149.1.13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considera que el establecimiento en el apartado 7 del art. 73 de los criterios para otorgar autorizaciones de construcción y explotación de instalaciones de distribución de gas natural excede del concepto material de bases estatales que viene acogiendo este Tribunal Constitucional y agota las posibilidades que, con arreglo a su propias competencias, ostentan las Comunidades Autónomas sobre desarrollo y complemento de la legislación básica, con arreglo a las peculiaridades del subsector gasístico en su ámbito territorial. Por otra parte, se afirma que el mencionado precepto conculca también los arts. 38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al anterior planteamiento al entender que el Estado, al establecer un criterio de adjudicación de obligatoria ponderación en tanto afecta al conjunto del sistema de retribución, se limita a ejercitar su competencia para fijar las bases de la planificación general de la actividad económica en el ámbito del sector gasístico. Asimismo, considera que el precepto controvertido, al establecer una limitación proporcionada y razonable dirigida a garantizar el monopolio natural en la distribución del gas natural no puede ser tachado de inconstitucional, sin que el mismo contenga una medida arbitraria o carente de una finalidad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en respuesta a la alegación de la Comunidad de Madrid acerca de la falta de adecuación de los preceptos impugnados al Derecho comunitario, debemos precisar, como tantas veces hemos hecho,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(así, STC 41/2002,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esta precisión debemos señalar que, como ambas partes coinciden, el objeto del presente recurso de inconstitucionalidad debe enmarcarse en el sistema constitucional y estatutario de distribución de competencias en materia de “régimen energético” (art. 149.1.25 CE) y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marco competencial, es preciso recordar que la STC 197/1996, de 28 de noviembre, cuya doctrina ha sido reiterada por la STC 223/2000, de 21 de septiembre (FJ 5), ambas en relación con el sector petrolero, ha fijado las reglas de articulación en materia energética entre los títulos competenciales recogidos en los arts. 149.1.13 y 149.1.25 CE,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podría afirmarse con carácter general, y menos aún absoluto, que en un sector tan importante para el desarrollo de la actividad económica en general como el del petróleo [y mutatis mutandis el gasístico]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—entre las que han de encuadrarse las relativas a planificación, de un lado, y, de otro, las de ordenación de concretos sectores económicos, entre los que se cuenta el energético y, dentro de éste, el subsector del petróleo [entiéndase también el del gas natural]— han de ejercerse conjunta y armónicamente, cada cual dentro de su respectivo ámbito material de actuación, que será preciso delimitar en cada caso. Convendrá recordar, en efecto, que este Tribunal ha declarado reiteradamente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fundamento jurídico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[o gasístico], no sólo las genéricas competencias relativas a las bases y coordinación de la planificación general de la actividad económica, sino también las más específicas de ordenación del sector energético, referentes a las bases del régimen del mismo. ... De otro lado, no obstante ser ello así será conveniente, en aras de una mayor clarificación del orden competencial constitucionalmente establecido, no tener por equivalentes o intercambiables el título genérico relativo a planificación económica y el específico referente a la ordenación de un sector aun en el supuesto en que ambos pertenezcan a un mismo titular, como aquí ocurre. Pues cuando se trata de reconocer o negar carácter básico a un concreto precepto legal, será preciso determinar en cada caso si este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carácter general es evidente que corresponde al Estado la competencia para regular la ordenación del sector energético, y dentro de éste el subsector gasístico, mediante la aprobación de la legislación básica; y a las Comunidades Autónomas corresponden las competencias de desarrollo normativo y ejecutiva, respetando las bases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poder dar respuesta a las cuestiones planteadas resulta conveniente analizar la evolución legislativa que ha sufrido la materia y su régimen jurídico actual. La Ley 34/1998, de 7 de octubre, del sector de hidrocarburos y sus disposiciones normativas de desarrollo, establecieron el régimen jurídico de las actividades de transporte, distribución, almacenamiento, regasificación y suministro de los sujetos que intervienen en el sistema gasista, de acuerdo con lo dispuesto en la Directiva 98/30/CE del Parlamento Europeo y del Consejo de 22 de junio de 1998, relativa a normas comunes para el mercado interior del gas natural; y definieron claramente las funciones y responsabilidades de todos los agentes que intervienen en el sistema gasista. La experiencia adquirida con dicha Directiva permitió identificar el acceso a la red, el acceso al almacenamiento, las cuestiones de tarificación, la interoperabilidad de sistemas y los distintos grados de apertura de los mercados entre Estados miembros como los principales obstáculos para la realización de un mercado interior plenamente operativo y competitivo. Por ello, como señala el preámbulo de la Ley 12/2007, de 2 de julio, por la que se modifica la Ley 34/1998, de 7 de octubre, del sector de hidrocarburos, la Directiva 2003/55/CE del Parlamento Europeo y del Consejo de 26 de junio de 2003 estableció nuevas normas comunes para completar el mercado interior del gas natural y derogó la Directiva 98/30/CE. Así, entre los principales aspectos que contempla la citada Directiva Europea 2003/55/CE destacan las obligaciones que los Estados podrán imponer a las empresas que operan en el sector del gas natural para proteger el interés económico general, las medidas de protección del consumidor que pueden referirse a la regularidad, a la calidad y al precio de los suministros, la supervisión de la seguridad de suministro, la obligatoriedad del establecimiento de normas técnicas, la designación y funciones de los gestores de redes de transporte o de distribución, y la posibilidad de explotación combinada de ambas redes, así como la organización del acceso a las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2003/55/CE obligó a adaptar la Ley 34/1998, de 7 de octubre, del sector de hidrocarburos, a su contenido y para ello se aprobó la Ley 12/2007, de 2 de julio, por la que se modifica la mencionada Ley 34/1998, de 7 de octubre. Como afirma el preámbulo de la norma, “las obligaciones de separación jurídica en el mercado liberalizado de las actividades de transporte, distribución, regasificación o almacenamiento por una parte, de las actividades de producción o suministro de gas natural, por otra, y la obligación de separación funcional que impone la Directiva 2003/55/CE, exige la adecuación a dicha Directiva del Título IV de la Ley 34/1998 sobre ordenación del suministro de gases combustibles por canalización”. Y precisamente con el fin de “adaptar el régimen económico del sector a la nueva situación en la que son los comercializadores los únicos agentes que realizan el suministro en condiciones de libre competencia, con las excepciones necesarias para el suministrador de último recurso” procede la Ley 12/2007 a realizar las modificaciones necesarias en el capítulo V de la Ley 34/1998, en el que se inserta el art. 73.7,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 la autorización de instalaciones de distribución de gas a las que hace referencia el precepto impugnado, debemos destacar que con anterioridad a la Ley 34/1998, de 7 de octubre, del sector de hidrocarburos, la distribución de gas se organizaba por medio de concesiones administrativas que, como tales, otorgaban a su titular el derecho a aprovechar en exclusiva el servicio público objeto de concesión dentro del término municipal al que se refería la misma. Tras la Ley 34/1998, se pasó a un régimen de autorizaciones donde podían coexistir en una misma zona diversas distribuidoras. En este sentido, la redacción del apartado 7 del art. 73 de la Ley 34/1998 era la siguiente: “Las autorizaciones de construcción y explotación de instalaciones de distribución podrán ser otorgadas mediante un procedimiento que asegure la concurrencia, promovido y resuelto por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Real Decreto-ley 5/2005, de 11 de marzo, de reformas urgentes para el impulso a la productividad y para la mejora de la contratación pública, introdujo una nueva disposición adicional vigésima tercera en la Ley 34/1998, que consagró el principio de distribuidor exclusivo de la zona. Según dicha disposición, cuya redacción se mantiene actualmente en los mismos términos: “Sobre la zona de distribución de gas natural de una autorización administrativa no podrán concederse nuevas autorizaciones para la construcción de instalaciones de distribución, debiendo cumplir las obligaciones de servicio de interés general y extensión de las redes, impuestas en la legislación y en la propia autorización administrativa. Todo ello sin perjuicio de lo dispuesto en el artículo 78.” La exposición de motivos del Real Decreto-ley 5/2005 justificó la decisión de sentar el principio de exclusividad en la voluntad de eliminar prácticas ineficientes en el ámbito de la distribución de gas, pues es evidente que la coexistencia de varios distribuidores en un mismo ámbito territorial puede comportar la existencia de instalaciones redundantes.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12/2007, de 2 de julio, mantuvo el principio de exclusividad consagrado en la disposición adicional vigésima tercera de la Ley 34/1998, pero dio nueva redacción al apartado 7 del art. 73 de la Ley 34/1998, sentando además el principio de preferencia a favor del distribuidor de la 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tener presente que con el apartado 7 del art. 73, al igual que con la disposición adicional vigésima tercera de la Ley 34/1998, la legislación española ha hecho suyo un criterio que ya viene recogido, en lo que se refiere al gas natural, en la Directiva 2003/55/CE, del Parlamento Europeo y del Consejo, de 26 de junio de 2003, sobre normas comunes para el mercado interior del gas natural. Así, su art. 4.4, bajo el título de “procedimiento de autorización”, viene a consagrar el principio de monopolio natural, al establecer que “[s]in perjuicio de lo dispuesto en el artículo 24, a los efectos del desarrollo de zonas en las que el suministro sea reciente y de la eficacia del funcionamiento general, los Estados miembros podrán denegar nuevas autorizaciones para la construcción y explotación de redes de gasoductos de distribución en una zona determinada, una vez que se hayan construido o se haya propuesto la construcción de dichas redes de gasoductos en la citada zona y cuando no esté saturada la capacidad existente o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las consideraciones generales expuestas, procede a continuación examinar las concretas alegaciones de la Comunidad de Madrid. Así, en primer lugar, considera que los criterios del nuevo art. 73.7, establecidos con carácter básico de acuerdo con lo establecido en el art. 149.1.13 y 25 CE, y aplicables al otorgamiento de autorizaciones de construcción y explotación de instalaciones de distribución exceden del concepto material de bases derivado de la doctrina constitucional, puesto que agotan las posibilidades que, con arreglo a sus propias competencias, ostenta la Comunidad de Madrid para desarrollar y complementar la Ley teniendo en cuenta las peculiaridades del sector del gas natural en su ámbito territorial. Como consecuencia de ello, su impugnación se extiende también a la disposición final primera de la Ley 12/2007, en la medida en que atribuye el carácter de básico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noción de bases o de normas básicas hemos señalado que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de 28 de julio, FJ 6; y 1/1982, de 28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noción material, cuya delimitación por este Tribunal tiene como finalidad esencial procurar que la definición de lo básico no quede en cada caso a la libre disposición del legislador estatal, “pues ello permitiría dejar sin contenido las competencias autonómicas” (STC 80/1988, de 28 de abril, FJ 5), cabe agregar que lo que ha de considerarse como bases o legislación básica es “el común denominador normativo necesario para asegurar la unidad fundamental prevista por las normas del bloque de la constitucionalidad que establecen la distribución de competencias” (STC 48/1988, de 22 de marzo, FJ 3). Esto es, un marco normativo unitario, de aplicación a todo el territorio nacional (STC 147/1991, de 4 de julio, FJ 4), dirigido a asegurar los intereses generales y dotado de estabilidad —ya que con las bases se atiende a aspectos más estructurales que coyunturales (STC 1/1982, de 28 de enero, FJ 1)— a partir del cual “pueda cada Comunidad, en defensa de su propio interés, introducir las peculiaridades que estime convenientes dentro del marco competencial que en la materia correspondiente le asigne su Estatuto” (STC 49/1988, de 22 de marzo,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podemos olvidar que este Tribunal ha reconocido la posibilidad de que determinada actividad ejecutiva sea calificada como “básica”, cuando dicha actividad afecta a intereses supracomunitarios y viene justificada por medidas indispensables para la preservación de lo básico o para garantizar la consecución de fines inherentes a la regulación básica (SSTC 49/1988, de 22 de marzo, FJ 32; y 135/1992, de 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regla general, y de acuerdo con la doctrina expuesta, las bases deben garantizar la existencia en todo el Estado de un mínimo común denominador normativo dirigido a asegurar los intereses generales. En el caso concreto aquí examinado, los intereses generales que persigue la modificación de la normativa estatal por la Ley 12/2007 vienen señalados en el preámbulo de la ley y derivan de la necesidad de adaptarse a la Directiva 2003/55/CE con la finalidad de conseguir un mercado interior de gas natural plenamente liberalizado del que se pueda derivar una mayor competencia, reducción de precios y mejora en la calidad del servicio al consumidor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73.7 se refiere a las autorizaciones de construcción y explotación de instalaciones de distribución de gas natural. Se consideran instalaciones de distribución de gas natural “los gasoductos con presión máxima de diseño igual o inferior a 16 bares y aquellos otros que, con independencia de su presión máxima de diseño, tengan por objeto conducir el gas a un único consumidor, partiendo de un gasoducto de la red básica de transporte secundario” (art. 73.1 Ley 34/1998). La construcción, modificación, explotación y cierre de las instalaciones de distribución de gas natural, con independencia de su destino o uso, estarán sujetas a autorización administrativa previa. Las autorizaciones serán otorgadas por la Administración competente. Así, de conformidad con lo previsto en el art. 3.2 de la Ley 34/1998, corresponde al Estado autorizar las instalaciones de distribución de gas cuando salgan del ámbito territorial de una Comunidad Autónoma; en caso contrario la competencia será autonómica. En todo caso, sea cual sea la autoridad competente para conceder la autorización, el art. 73.7 establece unos criterios de valoración aplicables con carácter general para la concesión de las correspondientes autorizaciones de construcción y explotación de instalaciones de distribución de gas. Según dichos criterios, las autorizaciones deberán ser otorgadas preferentemente a la empresa distribuidora de la zona y, en caso de no existir distribuidor en la zona, se atenderá a los principios de monopolio natural del transporte y la distribución, red única y realización al menor coste para 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interés general o la finalidad perseguida por el apartado 7 del art. 73 de la Ley 34/1998 es reducir los precios en todo el territorio nacional. En este sentido, como señala el Abogado del Estado, es cierto que la abundancia de redes genera ineficacia que redunda en un perjuicio para el consumidor porque habría que hacer frente a los mayores costes que supondría retribuir unas inversiones no eficientes. Por este motivo, el legislador ha previsto que la empresa que ya tenga la autorización de una zona dispone de una ventaja sobre la zona de influencia aneja a su zona autorizada al gozar de preferencia para obtener una nueva autorización previa. Por tanto, no hay duda de que el principio de preferencia sobre las zonas adyacentes, así como el resto de criterios previstos en el art. 73.7, priman la eficiencia en beneficio del sistema gasista para lograr unas menores inversiones y, por extensión, una menor carga para los consumidores, en línea con los principios sentados por el art. 89.2 d) (obtener la mayor racionalidad y aprovechamiento económico de las instalaciones), 92.1 c) (determinar el sistema de retribución de los costes de explotación de forma que se incentive una gestión eficaz y una mejora de la productividad que deberá repercutirse en parte a los usuarios y consumidores) y 92.5 (tomar en consideración a la hora de fijar los peajes y cánones los costes incurridos por el uso de la red de manera que se optimicen el uso de las infraestructuras)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actividades gasistas reguladas, entre las que se encuentran la regasificación, el almacenamiento básico, el transporte y la distribución, se ejercen de acuerdo a un régimen retributivo fijado por el poder público. Los recursos para retribuir estas actividades provendrán de las tarifas de último recurso, peajes y cánones, que son la contraprestación que el consumidor, el usuario de la red o de las instalaciones de transporte, o el usuario de la instalación, abona en virtud del correspondiente contrato. El capítulo VII del título IV de la Ley 34/1998 se dedica al régimen económico de las actividades gasistas. Este capítulo ha sido desarrollado por el Real Decreto 949/2001, de 3 de agosto, por el que se regula el acceso de terceros a las instalaciones gasistas y se establece un sistema económico integrado del sector de gas natural. Este real decreto, como señala su exposición de motivos, pretende conjugar tres objetivos de la política energética y su aplicación al sector del gas natural, que se concretan en garantizar un desarrollo suficiente de las infraestructuras mediante un sistema de retribuciones que permita una adecuada rentabilidad de las inversiones; diseñar un sistema de tarifas, peajes y cánones basado en costes, con el fin de imputar a cada consumidor los costes en que incurra el sistema relativos a su consumo; y, por último, regular el acceso de terceros a la red, de forma que su aplicación sea objetiva, transparente y no discriminatoria. De acuerdo con su art. 15 la retribución de las actividades reguladas destinadas al suministro de gas natural se llevará a cabo con cargo a las tarifas, peajes y cánones y atenderá a los criterios generales siguientes: a) asegurar la recuperación de las inversiones realizadas por los titulares en el período de vida útil de las mismas; b) permitir una razonable rentabilidad de los recursos financieros invertidos; y c) determinar el sistema de retribución de los costes de explotación, de forma que se incentive una gestión eficaz y una mejora de la productividad que deberá repercutirse en parte a los usuarios y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claramente se deduce de lo señalado, el sistema económico integrado supone que las inversiones realizadas tienen una repercusión directa en las tarifas que pagan todos los usuarios del gas natural. Por tanto, debemos afirmar que la fijación del principio de preferencia en la adjudicación de las autorizaciones de construcción y explotación previsto en el art. 73.7, al otorgar preferencia a la empresa que ya está en la zona geográfica y que, por tanto, ha realizado las correspondientes inversiones, contribuye a reducir los precios a pagar por el consumidor final. Lo mismo podemos decir del resto de criterios a los que se deberá atender de no existir distribuidor en la zona y que vienen a reforzar un principio consolidado y esencial para el funcionamiento del sistema del gas: el de monopolio natural en su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por tanto, de que los criterios fijados en el art. 73.7 contribuyen a reducir el precio final a pagar por el consumidor. Ahora bien, la cuestión a dilucidar en el presente recurso de inconstitucionalidad es determinar si resulta necesario que el Estado imponga dichos criterios con carácter general para la concesión de autorizaciones de construcción y explotación de instalaciones de distribución de gas —pues en ese caso el precepto debe ser calificado de básico— o si el mismo fin podría conseguirse si cada Comunidad Autónoma pudiera establecer los criterios objetivos que considere oportunos para otorgar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organización en red de gran parte de las infraestructuras de transporte y distribución de gas natural determina la formación de un mercado unitario en el que las decisiones empresariales y administrativas tendrán fácilmente repercusión global. En este sentido, la STC 24/1985, de 21 de febrero, reconoce que la elaboración de productos petrolíferos en una refinería, aunque esté localizada en un emplazamiento concreto, “está proyectada y regulada como una unidad, en relación con un mercado único, cuyas características y exigencias han determinado la fijación de la proporción de lo que de ella ha de destinarse al mercado nacional y a la exportación, así como la localización de los incrementos previstos de la capacidad de refino por empresas o zonas geográficas y otros factores” (FJ 6). Por ello afirmamos que, “en algunas materias ciertas decisiones y actuaciones de tipo aparentemente coyuntural, que tienen como objeto la regulación inmediata de situaciones concretas, pueden tener sin duda un carácter básico por la interdependencia de éstas en todo el territorio nacional”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fijación por el Estado de unos criterios de adjudicación de las correspondientes autorizaciones de obligatoria ponderación por todas las Administraciones competentes debe considerarse una norma básica que trata de asegurar que en todo el Estado se tomen en consideración los mismos objetivos de eficiencia y economía del sistema. Si cada Comunidad Autónoma tuviera plena libertad para fijar los criterios de adjudicación de las autorizaciones, el sistema gasista podría verse obligado a retribuir instalaciones redundantes si una Comunidad Autónoma decidiese no ponderar la ventaja objetiva que supone ser distribuidor de la zona, lo que encarecería el coste del gas a todos los usuarios. Como hemos señalado, la Ley ha optado por un sistema económico integrado en el que las inversiones que se lleven a cabo por las empresas encargadas de las actividades de transporte y distribución van a repercutirse directamente en las tarifas que satisfacen los usuarios del gas natural, de manera que las decisiones que se tomen en relación con las autorizaciones de instalaciones de distribución van a tener una repercusión inmediata en las retribución de las actividades gasistas. Por ello debemos entender que la fijación de unos criterios uniformes a observar en todo el territorio nacional para el otorgamiento de las correspondientes autorizaciones constituye una norma básica, con arreglo al art. 149.1.13 y 25 CE, que trata de evitar los posibles desequilibrios o desigualdades en el conjunto del sistema a los que podría conducir la fijación de criterios unilaterales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justificando que el art. 73.7 tiene la condición de norma básica al amparo de lo establecido en el art. 149.1.13 y 25 CE, deben ser, lógicamente, reiterados para rechazar la inconstitucionalidad que la Comunidad Autónoma de Madrid dirige también contra la disposición final primera de la Ley 12/2007, en la medida en que atribuye la condición de norma básica al art. 73.7.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también la Comunidad de Madrid que la nueva redacción dada al apartado 7 del art. 73 de la Ley 34/1998, de 7 de octubre, por la Ley 12/2007, de 2 de julio, conculca el art. 38 CE. A su entender, el precepto impugnado, en la medida que no permite concurrir en igualdad de condiciones a todas las empresas distribuidoras para obtener autorización de construcción o explotación, en detrimento de aquella que tuviese ya otorgada la autorización en la zona, impide sostener la actividad empresarial en libertad. Por su parte, para el Abogado del Estado, el legislador no pretende con esta norma limitar o impedir la competencia sino evitar que la supresión absoluta del principio de monopolio natural produzca un aumento de costes que perjudique el funcionamiento del mercado aumentando el precio final a pagar por 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libertad de empresa “hay que recordar que el art. 38 del texto constitucional dispone que los poderes públicos garantizan el ejercicio de la libre empresa de acuerdo con las exigencias de la economía general. Dicho mandato debe ser interpretado poniéndolo en relación, primero, con los arts. 128 y 131 CE [SSTC 37/1981, de 16 de noviembre, FJ 2; 111/1983, de 2 de diciembre, FJ 10; y 225/1993, de 8 de julio, FJ 3.b)], viniendo a implicar, fundamentalmente, el derecho a iniciar y sostener una actividad empresarial (STC 83/1984, de 24 de julio, FJ 3) y a hacerlo en libre competencia (SSTC 88/1986, de 1 de julio, FJ 4; y 135/1992, de 5 de octubre, FJ 8), lo que exige, entre otras cosas, la defensa de los empresarios contra prácticas, acuerdos, conductas o actuaciones atentatorias de esa libertad (STC 71/1982, de 30 de noviembre, FJ 15)” (STC 96/2002, de 25 de abril, FJ 11). El derecho a la libertad de empresa, como hemos recogido en la STC 18/2011, de 3 de marzo, no es absoluto e incondicionado sino limitado por la regulación que, de las distintas actividades empresariales en concreto, puedan establecer los poderes públicos, limitaciones que han de venir establecidas por la ley, respetando, en todo caso, el contenido esencial del derecho. Este Tribunal ha resaltado en distintas ocasiones que las actividades empresariales han de ejercerse “con plena sujeción a la normativa sobre ordenación del mercado y de la actividad económica general” [SSTC 225/1993, de 8 de julio, FJ 3 b), y 112/2006, de 5 de abril, FJ 8], o que “la vigencia de la libertad de empresa no resulta constitucionalmente resquebrajada por el hecho de la existencia de limitaciones derivadas de las reglas que disciplinen, proporcionada y razonablemente, el mercado” [SSTC 127/1994, de 5 de mayo, FJ 6 b); y 112/2006, de 5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empresa, “junto a su dimensión subjetiva, tiene otra objetiva e institucional, en cuanto elemento de un determinado sistema económico, y se ejerce dentro de un marco general configurado por las reglas, tanto estatales como autonómicas, que ordenan la economía de mercado y, entre ellas, las que tutelan los derechos de los consumidores, preservan el medio ambiente, u organizan el urbanismo y una adecuada utilización del territorio por todos” [STC 227/1993, de 9 de julio,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88/1986, de 1 de julio (FJ 4) “el reconocimiento de la economía de mercado por la Constitución, como marco obligado de la libertad de empresa, y el compromiso de proteger el ejercicio de ésta —art.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 naturales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recordada, en síntesis, la doctrina constitucional sobre el derecho a la libertad de empresa, debemos valorar si resulta proporcionada la preferencia que el precepto controvertido otorga a las empresas que han acometido inversiones en la zona a los fines de disminución del precio final a pagar por el consumidor, para así determinar si la regla señalada resulta adecuada y justificada por su fin. Como ya hemos señalado, todas las empresas pueden concurrir en condiciones de igualdad en las nuevas zonas que se pretendan gasificar, ahora bien, en las zonas en las que ya existe un distribuidor el art. 73.7 de la Ley 34/1998 concede preferencia para otorgar la correspondiente autorización a la empresa que ha acometido las inversiones necesarias en dicha zona, pero sin que ello suponga la obligación de otorgarla necesariamente a su favor negando toda oportunidad a otra empresa. Aquella que ya tenga la autorización de una zona dispone de una ventaja no definitiva sobre la zona de influencia aneja a su zona autorizada, de manera que no gozará de exclusividad sino de preferencia para obtener la nueva autorización. Esta medida no es, por tanto, excluyente del acceso al mercado pues no impide que puedan otorgarse nuevas autorizaciones previas en libre concurrencia, respecto de las cuales, no obstante, tendrá preferencia la empresa que ya está en la zona geográfica o área de influencia adyacente a la nueva zona para la que se solicita autorización. En consecuencia, el precepto impugnado no vulnera el derecho a la libertad de empresa recogido en el art. 38 CE, ya que la medida resulta proporcionada y razonable al objetivo perseguido con la misma, al tratar de primar la eficiencia en beneficio del sistema gasista para lograr unas menores inversiones y conseguir así un menor precio para el consumidor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sostiene la Comunidad de Madrid que la nueva redacción dada al apartado 7 del art. 73 de la Ley 34/1998, de 7 de octubre, por la Ley 12/2007, de 2 de julio, conculca el principio de interdicción de la arbitrariedad de los poderes públicos recogido en el art. 9.3 CE, pues no se limita a plasmar una opción política del legislador sino que contiene una auténtica discriminación que afecta a las empresas distribuidoras que no ostenten la condición de autorizadas en la zona, y ello sin justificación alguna de índole técnica que permita defender tal medida. Por su parte, para el Abogado del Estado es claro que tal precepto no vulnera el principio de interdicción de la arbitrariedad de los poderes públicos porque ni la medida adoptada establece una discriminación arbitraria, ni carece de una finalidad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interdicción de la arbitrariedad debemos recordar nuestra doctrina, según la cual “al examinar un precepto legal tachado de arbitrario, el análisis se centra en efectuar una doble verificación: en primer lugar, si la norma legal cuestionada establece una discriminación, pues la discriminación entraña siempre una arbitrariedad; y, en segundo lugar, si aun no estableciéndola, carece de toda explicación racional, pues en tal caso, supondría una arbitrariedad” (SSTC 27/1981, de 20 de julio, FJ 10; 66/1985, de 23 de mayo, FJ 1; 108/1986, de 29 de julio, FJ 18; 65/1990, de 5 de abril, FJ 6; 142/1993, de 22 de abril, FJ 9; 212/1996, de 19 de diciembre, FJ 16; 116/1999, de 17 de junio, FJ 14; 74/2000, de 14 de marzo, FJ 4; STC 131/2001, de 7 de junio, FJ 5; 96/2002, de 26 de abril, FJ 6; 242/2004, de 16 de diciembre, FJ 7; y 47/2005, de 3 de marzo, FJ 7). Basta, entonces, con que una determinada norma legal posea una finalidad legítima y racional, y que el medio adoptado no sea discriminatorio, para que quede ahí agotado el enjuiciamiento de su posible arbitrariedad (STC 142/1993, de 22 de abril, FJ 9). En otros términos, “si la norma de que tratamos no se muestra como desprovista de fundamento, aunque pueda legítimamente discreparse de la concreta solución, entrar en un enjuiciamiento de cual sería su medida justa supone discutir una opción tomada por el legislador que, aunque pueda ser discutible, no resulta arbitraria ni irracional (en sentido idéntico, STC 44/1988, de 22 de marzo, FJ 13)” (STC 104/2000, de 13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es evidente que la medida adoptada por el legislador —establecer un principio de preferencia a favor de la empresa que ya opera en la zona geográfica— podrá ser criticable desde un punto de vista técnico o económico, pero en modo alguno merece reproche desde el punto de vista constitucional en su contraste con el principio de interdicción de la arbitrariedad (art. 9.3 CE), pues ni la media adoptada establece una discriminación arbitraria ni tampoco carece de una finalidad razonable. En este sentido, el diferente tratamiento que el precepto establece entre las posibles empresas distribuidoras en función de que dispongan o no de autorización administrativa previa para una zona determinada no resulta arbitrario ni carente de finalidad, al perseguir que las empresas tengan que realizar unas menores inversiones y con ello lograr una menor carga económica para el consumidor final. Si el principio de preferencia que establece el art. 73.7 de la Ley 34/1998 trata de primar la eficiencia y evitar que la redundancia de redes genere un perjuicio para el consumidor porque habría de hacer frente a los mayores costes que supondrían nuevas inversiones, no cabe duda que desde la perspectiva de la arbitrariedad ningún reproche se puede hacer al precepto impugnado.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