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10 de diciembre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7262-2009, promovido por don Rolando Laverde Marín, representado por la Procuradora de los Tribunales doña Raquel Díaz Ureña y asistido por el Letrado don Francisco Jesús Gragera de Torres, contra el Auto de la Sección Decimosexta de la Audiencia Provincial de Madrid de 6 de julio de 2009, que desestimó el recurso de súplica interpuesto contra el Auto de 17 de abril del mismo año, recaídos ambos en la ejecutoria núm. 156-2008. Ha intervenido el Ministerio Fiscal.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recibido en el Registro General de este Tribunal el 11 de agosto de 2009, don Rolando Laverde Marín manifestó su voluntad de interponer recurso de amparo, solicitando la designación de Letrado y Procurador del turno de oficio. Efectuada la designación, doña Raquel Díaz Ureña, Procuradora de los Tribunales, en la representación indicada,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ingresó en prisión provisional el 28 de octubre de 2005, en virtud de mandamiento de prisión dictado por el Juzgado de Instrucción núm. 1 de Fuenlabrada, por los hechos que dieron lugar a dos causas penales distintas: de un lado, el procedimiento abreviado núm. 45-1999 del Juzgado de Instrucción núm. 3 de Albacete, cuyos hechos fueron juzgados por la Audiencia Provincial de Albacete (dando lugar a la ejecutoria núm. 26-2006); de otro, el procedimiento abreviado núm. 4417-2005 del propio Juzgado de Fuenlabrada, cuyos hechos fueron juzgados por la Audiencia Provincial de Madrid (dando lugar a la ejecutoria núm. 156-2008). El demandante permaneció privado provisionalmente de libertad en ambas causas hasta que inició el cumplimiento de las penas que le fueron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que no consta, el demandante fue condenado por el Juzgado Penal núm. 3 de Cádiz, como autor de un delito de amenazas, a la pena de seis meses de prisión, abonándose a dicha pena el tiempo que estuvo privado de libertad preventivamente en esta causa —desde el 4 de abril de 2005 al 31 de mayo de 2005—, iniciando el cumplimiento de la condena el 16 de noviembre de 2006 y finalizándola el 15 de marzo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Sección Segunda de la Audiencia Provincial de Albacete, en el anteriormente mencionado procedimiento abreviado núm. 45-1999, dictó Sentencia el 30 de noviembre de 2006 —declarada firme por Auto de 19 de diciembre de 2006— por la que condenó al demandante como autor de un delito contra la salud pública a la pena de tres años y tres meses de prisión, y multa de 65.682,30 euros, sustituible por cuatro meses de prisión en caso de impago. En la ejecutoria se abonó el tiempo en que estuvo en prisión provisional desde el 28 de octubre de 2005 al 15 de noviembre de 2006, iniciando el cumplimiento de la misma el 16 de marzo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demandante fue condenado en el también antes reseñado procedimiento abreviado núm. 4417-2005, en virtud de Sentencia dictada por la Sección Decimosexta de la Audiencia Provincial de Madrid el 6 de noviembre de 2007 (firme el 10 de julio de 2008), como autor de un delito contra la salud pública y de otro delito continuado de falsificación en documento oficial, respectivamente a las penas de ocho años y de dos años, cuatro meses y quince días de prisión, con multa, que en caso de impago daría lugar a cinco meses de responsabilidad subsidiaria.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Sentencia fue recurrida en casación ante la Sala de lo Penal del Tribunal Supremo, que por Auto de 10 de julio de 2008 declaró no haber lugar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Secretario Judicial practicó la liquidación de condena descontando cuatro días correspondientes al tiempo que estuvo detenido (desde el 24 al 27 de octubre de 2005), fijando como fecha de inicio del cómputo el 22 de septiembre de 2009 y de extinción de la pena el 26 de junio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Efectuado el traslado de la liquidación de condena practicada al demandante y al Ministerio Fiscal, éste manifestó su disconformidad con la misma, en tanto que el penado había estado privado de libertad a resultas de esta causa desde el 24 de octubre de 2005 hasta el 10 de julio de 2008, en que fue declarada firme la Sentencia recaída, y únicamente se le abonaron cuatro días de prisión preventiva, considerando necesario que, previamente a pronunciarse sobre la liquidación de la condena, se oficiara al centro penitenciario para que aclarara si la prisión preventiva a resultas de esta causa había sido abonada en otras y en qué cuantía, ya que entre el 24 de octubre de 2005 y el 10 de julio de 2008 habían transcurrido 992 días que deberían ser de abono en esta causa, de no haberlo sido en otra. Por su parte, el demandante remitió escrito interesando la rectificación de la liquidación, al indicar que no incluía los tres años y dos meses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instancias de la Sección Decimosexta de la Audiencia Provincial de Madrid, el director del centro penitenciario remitió escrito en el que se indicaba que el periodo de privación de libertad sufrida del 24 de octubre de 2005 al 10 de julio de 2008 había sido abonado del modo siguiente: Del 24 al 27 de octubre de 2005, a la causa referenciada; del 28 de octubre de 2005 al 15 de noviembre de 2006, a la ejecutoria núm. 26-2006 de la Sección Segunda de la Audiencia Provincial de Albacete; del 16 de noviembre de 2006 al 15 de marzo de 2007, a la ejecutoria núm. 509 del Juzgado de lo Penal núm. 6 de Cádiz; y del 16 de marzo de 2007 al 10 de julio de 2008, a la ejecutoria núm. 26-2006 de la Audiencia Provincial de Albacete.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5 de febrero de 2009 se aprobó la liquidación efectuada por el Secretario Judicial. Dicho Auto fue notificado a la representación del demandante y a éste personalmente, sin que se interpusiera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demandante remitió a la Sección Decimosexta de la Audiencia Provincial de Madrid un escrito en el que solicitaba la rectificación de la liquidación, por aplicación de la STC 57/2008, de 28 de abril, y que se abonara el tiempo en que estuvo privado provisionalmente de libertad (desde el 24 de octubre de 2005 hasta el 10 de julio de 2008). El Ministerio Fiscal se opuso mediante informe en el que afirmaba que “no se dan los supuestos de coincidencia de cumplimiento de pena prisión y de prisión provisional contemplados en la STC referenciada.”. La Sección dictó Auto el 17 de abril de 2009, desestimando la rectificación interesada por el demandante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En efecto la Sentencia del Tribunal Constitucional 57/2008 de 28 de abril vino a establecer un nuevo cómputo del abono de la prisión preventiva, en relación al que tradicionalmente y por imperio del tenor literal del art. 58.1 del C. Penal venía haciéndose.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nuestro Alto Tribunal señaló que cabía la posibilidad de abonar el periodo de prisión preventiva no sólo para la causa por la que se acordó sino para aquella otra si acaso dicho periodo de prisión preventiva coincidía con el periodo de cumplimiento de una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Recientemente el Pleno de la Audiencia Nacional con fecha 16 de abril de 2009 ha advertido la imposibilidad de aplicar con carácter general dicha doctrina constitucional emanada de dicha sentencia, sin perjuicio de la aplicación concreta caso a caso si en efecto se produjera vulneración de derechos fundamentales, correspondiendo a quien lo alega la prueba efectiva y concreta de dichos perjuicios y no la mera alegación genérica de tal pérdida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solicitante no ha acreditado la existencia de perjuicios concretos derivados de su condición de preso preventivo que le hubieran cercenado derechos penitenciarios en la pena que estaba cumpliendo, por lo que no procede revocar la liquidación de condena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Interpuesto recurso de súplica por la representación del demandante, fue desestimado por Auto de 6 de julio de 2009, en el que se razonaba, tras citar nuevamente la decisión del Pleno de la Audiencia Nacional de 16 de abril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fecha de hoy y a la vista del recurso interpuesto, nuevamente hemos de manifestar que dicho perjuicio concreto no se ha acreditado. Cierto es que al hilo del recurso se ha aportado la fecha de firmeza de la sentencia recaída en la Audiencia Provincial de Albacete, mediante la aportación de copia simple (más bien fotocopia) de dicha resolución. Vamos a dar por válido que la fecha de inicio del cumplimiento de dicha ejecutoria de la Audiencia Provincial de Albacete sea la que se indica en documento de la jurista de Valdemoro que se aporta con la petición de rectificación de la liquidación de la condena (16 de marzo de 2007), ahora bien, la acreditación de la coincidencia temporal de una situación de prisión preventiva (sufrida en nuestra causa), con el cumplimiento efectivo de otra pena (la correspondiente a la Audiencia Provincial de Albacete), no lleva consigo que automáticamente haya de aplicarse la citada Sentencia del Tribunal Constitucional, que en suma lo que pretende es salir al paso de un quebranto concreto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 necesario, y ya lo decíamos en el auto recurrido, una acreditación concreta de dicho perjuicio. Acreditación por otra parte relativamente fácil. Es así que se echa en falta un certificado del centro de cumplimiento donde se estuviera ejecutando la pena derivada de la sentencia de la Audiencia Provincial del Albacete, en el que se indicara que, de no haber estado el penado en situación de prisión preventiva en otra causa, habría disfrutado de permisos, de progresión de grado, etc... La ausencia de dicha acreditación concreta, con especificación del beneficio penitenciario dejado de disfrutar o aplicar, impide la aplicación de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parte dispositiva del Auto se indicaba el carácter irrecurrible de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 posterioridad a la interposición de la demanda de amparo, el recurrente remitió a la misma Sección un escrito interesando una nueva liquidación de condena, petición a la que se opuso el Ministerio Fiscal, siendo desestimada mediante Auto de 7 de julio de 2010. Posteriormente, en fecha 19 de julio de 2010 el demandante interpuso recurso de súplica, al que nuevamente se opuso el Ministerio Fiscal, siendo desestimado por providencia de 9 de septiembre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formular petición de revisión de las penas impuestas, basada en la disposición transitoria segunda de la Ley Orgánica 5/2010, de 22 de junio, la Sección dictó Auto el 22 de noviembre de 2010 acordando revisar la condena y sustituyendo la pena impuesta por el delito contra la salud pública por otra de cinco años y seis meses de prisión y accesorias legales, manteniendo la pena impuesta por el delito de falsedad documental. Como consecuencia de ello, por Auto de 10 de enero de 2011 se aprobó una nueva liquidación de condena, con el mismo abono de prisión preventiva que ha dado lugar a la formulación del presente recurso de amparo, iniciando el cumplimiento de la condena el 22 de septiembre de 2009 y extinguiéndose el 27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sustenta la demanda en la vulneración del derecho fundamental a la libertad personal (art. 17.1 CE). Expone que fue detenido el 24 octubre 2005 y ha estado en situación de prisión provisional decretada en el procedimiento abreviado núm. 4417-2005 del que conoció la Audiencia Provincial de Madrid desde el 28 de octubre de 2005 hasta el Auto del Tribunal Supremo de 10 de julio de 2008, realizándose su clasificación inicial en segundo grado penitenciario con efectos de 29 de enero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transcurrieron más de tres años hasta que se produjo su clasificación inicial, permaneciendo durante ese periodo en situación de prisión provisional por el mencionado procedimiento, y al mismo tiempo estaba cumpliendo las penas correspondientes a la ejecutoria núm. 26-2006 de la Sección Segunda de la Audiencia Provincial de Albacete y a la ejecutoria núm. 609-2006 del Juzgado de lo Penal núm. 3 de Cádiz. Indica que ello le ha impedido, a modo de ejemplo: pedir permisos ordinarios o extraordinarios, solicitar centro de cumplimiento o el tercer grado penitenciario, pues al tener la doble condición de condenado y de preso preventivo la situación de prisión preventiva ha agravado las condiciones de cumplimiento de la condena, por lo que se le debe abonar la totalidad del tiempo de privación de libertad sufrido preventivamente en el procedimiento del que conoció la Audiencia Provincial de Madrid, aunque coincida en el tiempo con el cumplimiento de una condena en otro procedimiento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las resoluciones judiciales impugnadas lesionan el derecho a la libertad (art. 17.1 CE) porque en la situación de encontrarse una persona en calidad de preso preventivo y condenado no hay más norma aplicable que el art. 58 del Código penal y porque la STC 57/2008, de 28 de abril, indica que “la vigente redacción del art. 58.1 del Código penal, la del abono en su totalidad el tiempo de privación de libertad sufrido preventivamente en una causa para el cumplimiento de la pena o penas impuestas en la misma causa, careciendo de cobertura legal la exclusión para el referido abono del período de tiempo en el que simultáneamente a la situación de prisión provisional en dicha causa concurre la situación de penado por otra causa”. Añade que “de conformidad con lo dispuesto en la normativa penitenciaria (arts. 23.3, 29.2, 104, 154, 159, 161 y 192 del reglamento penitenciario), el cumplimiento en calidad de penado se ve directa y perjudicialmente afectado por el hecho de coincidir con una situación de prisión provisional decretada, pues el penado que se encuentra con causas pendientes en situación de prisión provisional no puede acceder a ningún régimen de semilibertad, no puede obtener permisos, ni puede obtener la libertad condicional”; finalmente considera que “el otorgamiento de amparo ha de determinar la declaración de nulidad de las resoluciones judiciales recurridas, retrotrayéndose las actuaciones al momento inmediatamente anterior a su pronunciamiento a fin de que se dicte una nueva resolución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marzo de 2011 la Sala Segunda de este Tribunal acordó la admisión a trámite del recurso de amparo y, en aplicación de lo previsto en el art. 51 de la Ley Orgánica del Tribunal constitucional (LOTC), dirigir atenta comunicación a la Sección Decimosexta de la Audiencia Provincial de Madrid a fin de que, en el plazo de diez días, emplazara a quienes hubieran sido parte en el procedimiento, excepto a la parte recurrente en amparo, para que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3 de mayo de 2011 se acordó dar vista de las actuaciones a la parte recurrente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evacuó el trámite de alegaciones mediante escrito registrado en este Tribunal el día 30 de mayo de 2011, en el que daba por reproducidas las formuladas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registrado el 31 de mayo de 2011 en el que comienza exponiendo los antecedentes procesales de los que trae causa la demanda de amparo, así como los argumentos expuestos por el demandante en su recurso. A continuación rechaza la posible concurrencia del óbice procesal de falta de agotamiento previsto en el art. 44.1 a) LOTC como consecuencia de que el demandante, tras la interposición del recurso de amparo, instó nuevamente ante la Audiencia Provincial la rectificación de su liquidación de condena con el mismo fundamento que se esgrime en el recurso de amparo. A este respecto indica que “en el presente supuesto, lo que se cuestiona son resoluciones judiciales pronunciadas durante la ejecución de una condena privativa de libertad, resoluciones que, por su propia naturaleza, son provisorias, dadas las múltiples incidencias de todo orden que se pueden producir durante la ejecución penal, lo que conlleva que hasta que no se produce la definitiva extinción de la condena sean susceptibles de ser alteradas”.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se refiere al fondo de la demanda, transcribiendo parcialmente los fundamentos jurídicos segundo a séptimo de la STC 57/2008, de 28 de abril, e indicando que no pueden compartirse las premisas que adoptan las resoluciones judiciales para inaplicar la doctrina de este Tribunal. Entiende que las resoluciones judiciales afirman que la STC 57/2008, de 28 de abril, vino a establecer un nuevo cómputo del abono de la prisión preventiva distinto al que tradicionalmente por imperio del tenor literal del art. 58.1 del Código penal venía haciéndose, lo que no se acomoda a la realidad, pues el tenor literal del precepto, en la redacción vigente cuando se dictaron las resoluciones que se cuestionan, de ninguna manera establecía el cómputo que en las resoluciones cuestionadas se acoge, siendo ello la razón del dictado de dicha Sentencia por este Tribunal Constitucional y de la ulterior modificación legal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las resoluciones esgrimen como fundamento para no acatar la doctrina de este Tribunal una resolución del Pleno de la Audiencia Nacional que ha advertido de la imposibilidad de aplicar con carácter general la doctrina constitucional, sin que tal advertencia tenga ninguna virtualidad frente a la clara dicción literal del art. 5.1 de la Ley Orgánica del Poder Judicial. Expone que no puede compartirse el argumento por el que se exige la necesidad de acreditar un efectivo perjuicio, acreditación que la resolución estima fácil, por poder efectuarse con un certificado del centro de cumplimiento en el que se indique que de no haber estado el penado en situación de prisión provisional habría disfrutado de permisos, progresión en grado, etc. Indica que dicho argumento no se deriva de la STC 57/2008, de 28 de abril, y que la imposibilidad y el perjuicio vienen determinados legalmente, al disponerlo así el reglamento penitenciario, que veda el disfrute de permisos, la progresión en grado y el régimen de semilibertad mientras se esté en situación de preso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si lo que pretenden afirmar la resoluciones judiciales es que el penado debía demostrar que en sus concretas circunstancias se le habría concedido cualquier beneficio, tal demostración deviene imposible, sin que le sea factible tampoco a la Administración penitenciaria un pronóstico de pasado que, además, dependería de los órganos judiciales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indica que el demandante simultaneó las situaciones de penado y preso preventivo, lo que se deduce de modo incontestable de la documental obrante en las actuaciones, sin que ello se haya tenido en cuenta al efectuar la liquidación de condena, por lo que interesa el otorgamiento del amparo y la anulación de los Autos impugnados, retrotrayendo las actuaciones al momento inmediatamente anterior a su dictado, a fin de que se dicte nueva resolución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diciembre de 2012 se acordó señalar para deliberación y votación de la presente Sentencia el día 10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Decimosexta de la Audiencia Provincial de Madrid de 6 de julio de 2009, que desestimó el recurso de súplica interpuesto contra el Auto de 17 de abril del mismo año, recaídos ambos en la ejecutoria núm. 156-2008.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se somete al juicio de este Tribunal consiste en dilucidar si se ha vulnerado el derecho a la libertad personal (art. 17.1 CE) del demandante como consecuencia de la negativa del órgano judicial a abonar, para el cumplimiento de la pena impuesta en dicha causa, la totalidad del tiempo en que permaneció decretada su prisión provisional en la misma. El demandante de amparo así lo sostiene y el Ministerio Fiscal comparte su apreciación.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la pretensión de amparo debemos considerar que, tal y como con mayor detalle se expone en los antecedentes de esta resolución, el Juzgado de Instrucción núm. 1 de Fuenlabrada decretó el 28 de octubre de 2005 la prisión provisional del demandante de amparo, simultáneamente, en dos causas penales seguidas contra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ellas permaneció en dicha situación cautelar hasta que el 19 de diciembre de 2006 fue declarada firme la condena de tres años y tres meses de prisión que le fue impuesta por la Sección Segunda de la Audiencia Provincial de Albacete. Por esta razón, el demandante adquirió la condición de penado desde dicha fecha y para el cumplimiento de la pena le fueron abonados los días en que permaneció preso preventivo por esta causa; es decir, desde el 28 de octubre de 2005 hasta el 19 de diciembre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segunda de las causas penales, la prisión preventiva decretada también el 28 de octubre de 2005 se mantuvo hasta el 10 de julio de 2008, en que fue declarada firme la segunda condena —que sumaba diez años, cuatro meses y quince días de prisión— impuesta por la Sección Decimosexta de la Audiencia Provincial de Madrid. Por lo que, desde entonces, también en esta causa pasó a la situación de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petición del demandante de que, para el cumplimiento de la pena impuesta en esta segunda causa, le fueran abonados todos los días que en ella permaneció en prisión provisional fue desestimada por la Audiencia Provincial de Madrid mediante Auto de 17 de abril de 2009; y la denegación fue confirmada en súplica mediante Auto de 6 de julio de 2009. El órgano judicial sustentó su decisión en que la situación del recurrente era distinta a la abordada en la STC 57/2008, de 28 de abril, que el penado había alegado en apoyo de su pretensión, pues en el presente caso no se había acreditado que su condición de preso preventivo le hubiera cercenado algún concreto beneficio penitenciario a que hubiera tenido derecho de haber permanecido sólo como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solicitud de amparo del demandante pueden distinguirse dos pretensiones conexas, pero bien diferenciadas por su fundamento y por el período de tiempo a que se refieren. Habiendo estado en prisión preventiva simultáneamente en dos causas penales y habiendo continuado vigente su privación provisional de libertad en la segunda causa una vez recaída Sentencia firme en la primera de ellas, resulta evidente que el tiempo de prisión provisional cuyo íntegro abono para el cumplimiento de la segunda condena reclama el demandante puede ser dividido en dos tramos: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se extiende desde el 28 de octubre de 2005 hasta el 19 de diciembre de 2006, período en el que permaneció simultáneamente en situación de prisión provisional por las dos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tramo abarca desde el 19 de diciembre de 2006 hasta el 10 de julio de 2008, período en el que permaneció en calidad de penado en la primera causa y continuó en condición de preso preventivo en 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relevante añadir que en la primera de las causas (ejecutoria núm. 26-2006 de la Audiencia Provincial de Albacete) se le abonaron para el cumplimiento de la pena impuesta únicamente los días de prisión provisional sufridos durante dicho primer tramo de tiempo, es decir, desde el 28 de octubre de 2005 hasta el 19 de diciembre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datos expuestos no puede sino considerarse, en aplicación de la doctrina fijada en la STC 57/2008, de 28 de abril, que los órganos judiciales desconocieron el derecho a la libertad personal del demandante de amparo al no reconocerle su derecho a que le fuera abonado en la segunda causa, como tiempo de cumplimiento de la pena, aquel segundo tramo de tiempo (del 19 de diciembre de 2006 al 10 de julio de 2008) en el que permaneció simultáneamente en la condición de penado en la primera causa y de preso preventivo en 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conlleva la estimación de la solicitud de amparo en este aspecto concreto dado que el art. 58 del Código penal vigente en aquel momento establecía taxativamente que “el tiempo de privación de libertad sufrido provisionalmente será abonado en su totalidad por el juez o tribunal sentenciador para el cumplimiento de la pena o penas impuestas en la causa en que dicha privación fue acordada”, previsión legal ésta que, dijimos ya en la STC 57/2008, de 28 de abril, obliga a computar como tiempo de cumplimiento de la pena aquellos períodos que se hubieren pasado en prisión preventiva aunque durante los mismos se hubiese permanecido también en calidad de penado por otra causa pues “no puede negarse la funcionalidad y la realidad material de la prisión provisional como medida cautelar de privación de libertad en una causa porque coincida simultáneamente con una privación de libertad para el cumplimiento de una pena impuesta en otra causa distinta” (FJ 6). Como se había dicho antes en la STC 19/1999, de 22 de febrero, la distinta funcionalidad de la medida cautelar en que consiste la prisión provisional y de la pena permite, sin violencia lógica, que un mismo hecho (la privación de libertad) cumpla materialmente una doble función (FJ 5) y produzca, consecuentemente —hemos de añadir— un doble efecto jurídico. Este razonamiento se ve reforzado porque, en tales supuestos, el cumplimiento como penado se ve perjudicialmente afectado por el hecho de coincidir simultáneamente con la situación de prisión provisional en otra causa (STC 57/2008, de 28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Resta por analizar la segunda pretensión, relativa a la negativa judicial a abonar el primer tramo de tiempo antes descrito para el cumplimiento de la pena impuesta en la segunda causa. El demandante, con los mismos argumentos ya analizados —es decir, la supuesta cobertura legal que le ofrece el art. 58.1 del Código penal— considera que la decisión judicial impugnada vulnera también su derecho a la libertad personal, al haber acordado no abonarle para el cumplimiento de la pena impuesta en la segunda causa el tiempo en que, simultáneamente, estuvo con la prisión provisional decretada en ambas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 aparente similitud del planteamiento, la cuestión presenta perfiles materiales diferenciados, pues el demandante no pretende ahora que se le abone en la segunda causa el tiempo de prisión provisionalmente sufrido en ésta durante el que simultáneamente estuvo en calidad de penado en la primera (pretensión con base legal que, en aplicación de la STC 57/2008, hemos reconocido ya en el fundamento jurídico anterior) sino que, más allá, solicita que el tiempo durante el que simultáneamente ha estado en prisión provisional en dos causas le sea descontado dos veces, abonándosele así para el cumplimiento de las penas impuestas en cada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ha sido resuelta en la STC 92/2012, de 7 de mayo, en la que hemos afirmado (FJ 5) que “la simultánea situación de prisión provisional acordada en dos causas penales no causa perjuicio material efectivo añadido, a quien se ve así privado de libertad, por el simple hecho de venir fundada en dos títulos jurídicos, pues el demandante, en su condición de preso preventivo en dos causas, lo está con un único régimen jurídico aunque procesalmente pesen sobre él dos órdenes cautelares de privación de libertad que en nada se afectan mutuamente”.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concluimos que “así como un mismo tiempo material —la simultánea privación de libertad cautelar y sancionatoria coincidente—, puede cumplir una doble función y puede provocar un doble efecto jurídico (cautelar y sancionatorio), lo que nos llevó en la STC 57/2008 a considerar irrazonable la decisión judicial de no incluir para el abono de la pena impuesta dicho tiempo de prisión provisional coincidente con el de penado en causa distinta; no ocurre lo mismo con el supuesto que sustenta la pretensión del demandante de amparo. Pues, en este caso, un mismo tiempo material —la simultánea privación cautelar de libertad acordada en dos causas penales, debido a una simple circunstancia procesal…— no cumple esa doble y diferenciada función, sino sólo la función cautelar y, por ello, no puede pretenderse razonadamente que provoque un doble efecto de abono para el cumplimiento de ambas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como en el caso resuelto en la STC 92/2012, de 7 de mayo (reiterado posteriormente en las recientes SSTC 158/2012, de 17 de septiembre; y 193/2012, de 29 de octubre), tampoco ahora pueden considerarse que incurran en tacha de inconstitucionalidad las resoluciones judiciales impugnadas en el concreto aspecto ahora analizado, en cuanto excluyen el abono del mismo tiempo de prisión provisional para el cumplimiento de varias causas, por lo que la pretensión de amparo, en este punto, ha de ser desestimada, sin perjuicio de que el otorgamiento parcial del amparo determine la declaración de nulidad de las resoluciones judiciales recurridas, retrotrayendo las actuaciones al momento inmediatamente anterior a su pronunciamiento a fin de que se dicte una nueva resolución de liquidación de condena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Rolando Laverde Marín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a la libertad personal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anular los Autos de la Sección Decimosexta de la Audiencia Provincial de Madrid de 17 de abril y 6 de julio de 2009 recaídos en la ejecutoria núm. 156-2008, retrotrayendo las actuaciones al momento procesal inmediatamente anterior al dictado del Auto de 17 de abril de 2009, para que se dicte una nueva resolución respetuosa con el derecho fundamental reconocido.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