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236</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13 de diciembre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1004-2004, interpuesto por el Parlamento de Cataluña contra apartado 2 del artículo 1 de la Ley 41/2003, de 18 de noviembre, de protección patrimonial de las personas con discapacidad y de modificación del Código civil, de la Ley de enjuiciamiento civil y de la normativa tributaria con esta finalidad. Ha sido parte el Gobierno de la Nación representado por el Abogado de Estado. Ha sido Ponente el Magistrado don Luis Ignacio Ortega Álvarez, quien expresa el parecer de este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20 de marzo de 2004, el Letrado del Parlamento de Cataluña, en nombre éste, presentó escrito de interposición de recurso de inconstitucionalidad contra el apartado 2 del artículo 1 de la Ley 41/2003, de 18 de noviembre, de protección patrimonial de las personas con discapacidad y de modificación del Código civil, de la Ley de enjuiciamiento civil y de la normativa tributaria con esta finalidad (publicada en el “Boletín Oficial del Estado” núm. 277, de 19 de noviembre de 2003). El recurso tiene por objeto la impugnación del apartado 2 del artículo 1, relativo a la aplicación preferente de las normas de la Ley antes mencionada sobre las que en el Código civil regula la incapacitación y los cargos tutelares por entender que la regulación contenida en la misma obstaculiza el ejercicio de la competencia legislativa para la conservación, modificación y desarrollo del Derecho civil propio atribuidas a Cataluña en el art. 27.4 de su Estatuto de Autonomía (EAC) de 1979, vulnerando con ello su competencia sobre legislación civil ex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fundamentación del recurso se comenzó recordando la estructura y contenido de la ley cuya norma se impugna, así como el régimen de concurrencia competencial en materia de legislación civil entre el Estado y la Comunidad Autónoma catalana, en virtud de lo dispuesto en 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el Letrado del Parlamento de Cataluña, de un lado, que la posible coexistencia de normas de origen diferente sobre unas mismas materias puede producir unos efectos importantes en el ámbito de la derogación y la aplicación de las normas, efectos que trata de regular la cláusula de supletoriedad que, además, tiene un contenido especial cuando se trata de aplicarla a la relación entre los ordenamientos de Derecho civil. Recuerda, en este sentido, que el Derecho del Estado actúa en todo caso como supletorio del autonómico por mandato de los artículos 149.3 CE y 26.3 EAC, y así se ha pronunciado el Tribunal Constitucional en las SSTC 118/1996, de 27 junio, y 61/1997, de 20 marzo. En ellas se entendió que, una vez los ordenamientos autonómicos se desarrollaron plenamente, la supletoriedad no constituía un título competencial que permitiera al Estado dictar normas si no gozaba de un título competencial material propio. Por esta razón, el Derecho estatal supletorio sólo existirá cuando la norma estatal se dicte en ejercicio de una competencia propia. El desarrollo de esta doctrina lleva a entender que, en el caso del Derecho civil catalán, la posible heterointegración a través del Derecho civil estatal, queda limitada a los supuestos en los que existen verdaderas lagunas en el Derecho catalán, pues la supletoriedad del Derecho civil estatal es de segundo grado. Y, así, aunque el Estado sea competente para legislar el contenido de los arts. 1 a 13 de la Ley 41/2003, en virtud de los títulos que la Constitución le reserva en materia de Derecho civil, estos preceptos tienen en Cataluña el valor supletorio mencionado y si dicha Comunidad Autónoma, haciendo uso de su competencia legislativa en materia de Derecho civil, decidiera regular la protección del patrimonio de las personas con discapacidad habría de entenderse que estas normas se autointegrarían con el resto del ordenamiento civil catalán y sólo en segunda instancia se podría acudir al derecho estatal como norma supletoria.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pasó a fundamentar la concreta impugnación deducida: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Letrado del Parlamento catalán comenzó sus valoraciones con la cita de los títulos competenciales invocados por el Estado y, si bien no pone en duda su legitimación constitucional para llevar a cabo la regulación de la protección del patrimonio de las personas con discapacidad ya sea en materia de Derecho civil (art. 149.1.8 CE), de Derecho procesal (art. 149.1 6 CE), ya al relativo a la hacienda general del Estado (art. 149.1.14 CE), lo cierto es que —a su juicio— al utilizarlos de forma conjunta y regularse esta figura previendo unas ventajas fiscales que sólo puede reconocer el legislador estatal, se incide indirectamente en el alcance de la potestad legislativa autonómica en materia de Derecho civil, ya que al integrar en una misma regulación y ligar indisolublemente unas ventajas fiscales a una regulación estatal determinada de dicho patrimonio, las Comunidades Autónomas con competencias en materia civil no podrán dictar unas normas civiles, de contenido incluso similar, que disfruten de las mismas ventajas fiscales que los contemplados en la Ley 41/2003, lo que conllevaría un trato fiscal desigual injustificado y desproporcionado de los ciudadanos en función exclusivamente de su vecindad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subraya, en segundo término, la consecuencia práctica que tiene el hecho de que el legislador estatal haya vinculado ventajas fiscales estatales a esta nueva institución civil que es la de creación del patrimonio de las personas con discapacidad. Esta no sería otra que, a pesar de reconocer en la exposición de motivos y en parte de su articulado la competencia de Cataluña para legislar en un futuro esta institución civil, la normativa catalana que regulase, de acuerdo con sus principios, el patrimonio protegido de un modo diferente a como lo hace legislador estatal, tendría que poder disfrutar también de las ventajas propias de los tributos estatales, y ello no sería posible, puesto que estos beneficios se establecen de manera unívoca para el patrimonio protegido que crea el legislador estatal. Con cita de las SSTC 46/1990, de 15 marzo, FJ 4; 149/1991, de 4 julio, FJ 4; y 96/1986, de 10 julio, FJ 3, se recuerda que el ejercicio de las competencias, en todo caso, pero especialmente cuando se trata de una concurrencia material, debe realizarse de forma tal que no se impida o dificulte el ejercicio de la competencia que corresponda a otro ente. Y esta regla de actuación está vinculada al principio de lealtad constitucional en su vertiente negativa, o sea, como principio que impide que una de las partes actúe en ejercicio de sus competencias en contra de los legítimos derechos e intereses de la otra parte. En opinión del Letrado del Parlamento de Cataluña, esta regla no ha sido observada por el Estado al condicionar el ejercicio de una competencia legislativa autonómica (legislación civil) mediante la utilización de su competencia normativa en materia tributaria y la capacidad para reconocer beneficios fiscales.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el recurrente defiende la posibilidad de que para respetar el ejercicio de la competencia autonómica al legislador estatal le habría sido suficiente establecer una reserva concreta y específica en beneficio de la legislación civil de las Comunidades Autónomas, determinando las condiciones básicas que dicha legislación debería cumplir para que fueran aplicables los beneficios fiscales. El legislador estatal —propugna el Letrado del Parlamento catalán— debería haber hecho posible el uso de las ventajas fiscales sobre los impuestos estatales al legislador autonómico en materia de Derecho civil y, de haberlo hecho así, esta actuación sería respetuosa con el sistema constitucional de distribución de competencias y con el principio de lealtad constitucional. Así, defiende que “la ley estatal podría, en ejercicio de la competencia que el artículo 149.1.14 CE reserva al Estado, establecer los elementos subjetivos y objetivos que permitirían disfrutar de las ventajas fiscales. Pero la regulación del patrimonio protegido, en el resto de sus aspectos, tendría que poder ser realizada por el legislador autonómico con competencias en materia de Derecho civil, configurando esta institución libremente. Por el contrario la Ley 41/2003 vincula las ventajas fiscales al contenido de la creación del patrimonio protegido en los mismos términos que ella misma prevé y, por tanto, si el legislador catalán pretendiese que estos beneficios fiscales se aplicasen a una institución similar regulada desde el Derecho civil de Cataluña, tendría que hacerlo mediante una interpretación analógica de la normativa tributaria, lo que prohíbe expresamente el artículo 14 de la Ley 58/2003, de 17 diciembre, General Tributaria, cuando establece que ‘no se admitirá la analogía para extender más allá de sus términos estrictos el ámbito del hecho imponible, de las exenciones y demás beneficios o incentivos fiscales’.”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todo ello, se debe entender que el artículo 1.2 de la Ley 41/2003, de 18 de noviembre, de protección patrimonial de las personas con discapacidad o bien impide de hecho y de forma no justificada el ejercicio de la competencia legislativa del Parlamento de Cataluña en materia de Derecho civil, lo que contraviene los arts. 149.1.8 CE y 9.2 EAC, o si, al margen de las anteriores argumentaciones, se considera que dicha disposición no impide el ejercicio de las competencias de la Generalitat de Cataluña en la materia, en la medida que dichas competencias no pueden abarcar el establecimiento de beneficios fiscales sobre tributos del Estado, debería concluirse que el Estado trata fiscalmente de forma desigual a los ciudadanos exclusivamente en función de su vecindad civil, lo que sería contrario a los artículos 14 y 31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concluyó, por todo ello, con la súplica de que se dictara Sentencia en la que se declarase la inconstitucionalidad y consiguiente nulidad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13 de abril de 2004, la Sección Segunda acordó admitir a trámite el recurso de inconstitucionalidad promovido por el Parlamento de Cataluña y dar traslado de la demanda y documentos presentados al Congreso de los Diputados y al Senado, así como al Gobierno de la Nación, al objeto, de que, en el plazo de 15 días, pudieran personarse en el proceso y formular las alegaciones que estimaren convenientes. Se dispuso, por último, publicar en el “Boletín Oficial del Estado” la incoación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virtud de escrito registrado el día 28 de abril de 2004, el Presidente del Senado rogó que se tuviera la Cámara por personada y por ofrecida su colaboración a los efectos del art.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día 30 de abril de 2004, el Presidente del Congreso de los Diputados comunicó al Tribunal el acuerdo de la Mesa de la Cámara, de conformidad con el cual el Congreso de los Diputados se persona en el procedimiento y ofrece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7 de mayo de 2004, la Abogacía del Estado ante el Tribunal Constitucional, en nombre y representación del Gobierno de la Nación, formuló las alegaciones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comenzó por señalar el interés del problema planteado en el recurso sobre la colaboración entre el legislador general y los territoriales de las Comunidades Autónomas con Derecho civil propio, si bien, a su juicio, adolece de incoherencia a la vez que no acierta a razonar alguna inconstitucionalidad imputable al precepto legal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explica que la Ley 41/2003 consta de una parte civil y otra tributaria estrechamente entrelazadas, centrándose la primera en la creación de un patrimonio protegido de destino, que cuenta con el estímulo de las ventajas tributarias en diversos impuestos estatales, y la segunda, es decir, el régimen fiscal, se apoya en el régimen jurídico civil del patrimonio protegido en el que se ha tenido muy en cuenta el interés de la hacienda general en precaver abusos y fraudes que puedan perjudicarlo. Esta es la razón por la que, con cierta reiteración, las normas tributarias afectadas exigen que las aportaciones se efectúen precisamente al patrimonio protegido de las personas con discapacidad tal y como está regulado en la Ley de protección patrimonial de las personas con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añade que, dado que el legislador catalán no ha dictado norma civil alguna sobre la materia discutida al amparo de su competencia exclusiva ex art. 9.2 EAC en relación con el art. 149.1.8 CE, se trata de una especie de recurso preventivo, aunque bien podría realizarse a efectos puramente dialécticos un análisis sobre la constitucionalidad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Siguiendo la línea hipotética marcada, el Abogado del Estado, en primer lugar, llama la atención sobre el reconocimiento que la Ley 41/2003 hace a lo largo de su articulado a la aplicación preferente del Derecho civil catalán (v.gr. apartados II y III de su exposición de motivos y arts. 4.3, 5.2, 5.6 y 6.2). En segundo término, recuerda que, aunque el legislador autonómico llegara a dictar una ley propia para articular la protección del patrimonio de los discapacitados, lo que nunca estaría dentro de sus competencias es modificar preceptos de las leyes tributarias estatales a fin de conceder ventajas fiscales a quienes realicen aportaciones al patrimonio protegido acogiéndose a la ley civil autonómica. Subraya, en este sentido, que la explícita referencia que los preceptos tributarios hacen exclusivamente a la ley estatal, impediría aplicar tales beneficios a quienes se sujetaran a lo dispuesto en la ley catalana, habida cuenta de que rige la prohibición de analogía para tales ventajas (art. 23.3 de la Ley general tributaria, de 28 de diciembre de 1963 y art. 14 de la Ley 58/2003, de 17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Llevando a cabo una exégesis detallada de la norma impugnada, el representante del Gobierno de la Nación concluye que hay que entender que lo que se declara es la preferencia aplicativa, como ley especial, de las reglas que sobre incapacitación y tutela, curatela, defensor judicial y guarda de hecho se establecen en la Ley 41/2003, sobre las establecidas en el Código civil. Quiere ello decir que únicamente establece la relación adecuada entre dos cuerpos legales aprobados ambos por el legislador estatal: una ley especial, la Ley de protección patrimonial de las personas con discapacidad  y una ley general, el Código civil. Por esta razón estima que si se suprimiera hipotéticamente el precepto de cuya constitucionalidad se duda, el problema planteado subsistiría en los mismos términos, porque las normas tributarias estatales seguirían haciendo referencia a la Ley de protección patrimonial de las personas con discapacidad, cuyo régimen civil quedaría íntegro e intacto pese a la supresión del art. 1.2. Por ello, no se le puede reprochar que impida de hecho el ejercicio de la potestad legislativa catalana en materia de Derecho civil, puesto que si el legislador autonómico se propusiera establecer el régimen civil de la protección patrimonial de los discapacitados, en ejercicio de su competencia (art. 9.2 EAC), el texto del precepto impugnado no se lo impediría.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se refiere a la invocación del principio de igualdad ex arts. 14 y 31.1 CE, llama la atención el Abogado del Estado en el hecho de que tal conculcación sólo tendría lugar si el legislador catalán decidiera dictar una ley de protección patrimonial de los discapacitados distinta de la ley estatal 41/2003 y, además, siempre que no se modificaran las normas tributarias estatales para extender el trato de favor a quienes se acogieran a la ley autonómica. Sólo, por consiguiente, dándose ambos presupuestos (regulación autonómica diferente a la estatal y no modificación de las normas tributarias), podría confirmarse el trato discriminatorio para las personas sujetas al Derecho civil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Finaliza, el representante del Gobierno, sus alegaciones recordando que estamos en presencia de un recurso preventivo —que califica de simulacro de impugnación—, pues el problema que plantea no es de constitucionalidad, sino de coordinación entre legisladores general y particular. Dicho problema, en el momento en el que legislador catalán decida regular la materia, puede solventarse solicitando al Gobierno, en cumplimiento del deber constitucional que pesa sobre el legislador tributario estatal, que adapte las normas tributarias a la existencia de leyes autonómicas sobre la protección patrimonial de los discapacitados, lo que, a su vez, evitaría injustificados tratamientos desiguales para los obligados tributarios dependiendo de la vecindad civil que ostenten.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11 de diciembre de 2012 se señaló para deliberación y fallo de esta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dirige contra el apartado 2 del artículo 1 de la Ley 41/2003, de 18 de noviembre, de protección patrimonial de las personas con discapacidad y de modificación del Código civil, de la Ley de enjuiciamiento civil y de la normativa tributaria con esta finalidad. Este precepto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patrimonio protegido de las personas con discapacidad se regirá por lo establecido en esta Ley y en sus disposiciones de desarrollo, cuya aplicación tendrá carácter preferente sobre lo dispuesto para regular los efectos de la incapacitación en los Títulos IX y X del Libro I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plantea una controversia de naturaleza competencial, ya que el Letrado del Parlamento de Cataluña considera que dicha norma vulnera su competencia en materia de legislación civil (art. 149.1.8 CE y art. 9.2 del Estatuto de Autonomía de Cataluña, actualmente art. 129 del Estatuto de Autonomía reformado por la Ley Orgánica 6/2006, de 19 de julio) y el principio de lealtad constitucional. En este sentido, afirma que el legislador estatal, al haber utilizado conjunta e indisolublemente los títulos competenciales en materia de Derecho civil y tributario —competencias que reconoce que posee— para regular la protección del patrimonio de las personas con discapacidad, ha mermado deslealmente la competencia de la Generalitat de Cataluña para legislar esta nueva institución civil, ya que las ventajas fiscales estatales se han vinculado directa y unívocamente a la regulación estatal, de tal modo que sólo si se crean o si se realizan aportaciones con los requisitos establecidos en la legislación estatal se obtendrán dichas ventajas. Consecuentemente, el legislador autonómico no puede regular con los mismos beneficios fiscales este tipo de patrimonio protegido —siendo como es lo que realmente incentiva su creación—, ya que no puede incidir en la normativa tributaria estatal (art. 149.1.14 CE). Con esta técnica —se queja el representante del Parlamento catalán— el Estado ha utilizado su competencia en materia de hacienda general de una manera que obstaculiza en la práctica el ejercicio de las competencias autonómicas en materia de Derecho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anterior razonamiento añade un argumento yuxtapuesto. A su juicio, si se concluyera que la disposición impugnada no impide el ejercicio de las competencias autonómicas en materia de Derecho civil, en la medida que la Generalitat de Cataluña no puede abarcar beneficios sobre tributos estatales, debería concluirse que el Estado otorga un tratamiento fiscal desigual a los ciudadanos pues lo hace depender exclusivamente de la vecindad civil que ostentan, lo que es contrario al derecho a la igualdad (art. 14 CE) y al principio de justicia tributaria (art. 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postula la desestimación íntegra del recurso, pues entiende que el precepto impugnado se atiene al orden constitucional y estatutario de distribución de competencias en materia de Derecho civil, sosteniendo en esencia que la regulación impugnada se encuentra plenamente respaldada por los títulos competenciales del Estado en la materia, señaladamente, los establecidos en el art. 149.1, cláusulas 6, 8, y 14 CE, y que, en todo caso, se respeta el espacio competencial de las Comunidades Autónomas. Insiste igualmente en que el recurso de inconstitucionalidad posee un carácter en alguna manera preventivo, toda vez que, en el momento de interponerse, no existe ley catalana sobre la protección del patrimonio de la persona con discapacidad y, en consecuencia, todo lo más que se podría decir es que la vulneración constitucional es hipotética. Yendo más allá, y sólo a efectos dialécticos, observa que en caso de que el legislador catalán llegara a dictar una ley sobre la materia, nunca estaría dentro de sus competencias aplicar los beneficios tributarios estatales a favor de aquellos que se sujetaran a la norma autonómica para la creación de este tipo de patrimonio, habida cuenta, no sólo de su falta de competencia en materia tributaria, sino, incluso, de la prohibición de analogía de las normas tributarias (ex art. 23.3 de la entonces vigente Ley general tributaria de 1963 y art. 14 de la Ley 58/2003, de 17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último lugar, advierte que los principios de igualdad —general y tributario (proclamados en los arts. 14 y 31 CE)— sólo podrían llegar a conculcarse si el legislador catalán decidiera dictar una ley de protección del patrimonio de los discapacitados diversa a la estatal y, además, no se llevara a cabo una modificación de las normas tributarias estatales para extender las ventajas fiscales a quienes se acogieran a la regulación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del problema de fondo que se plantea en el recurso que nos ocupa, hemos de resolver la cuestión que suscita el hecho de que el presente recurso de inconstitucionalidad fue interpuesto durante la vigencia del Estatuto de Autonomía de Cataluña de 1979, aprobado por Ley Orgánica 4/1979, de 18 de diciembre y, sin embargo, en el momento de resolverlo, se ha producido la reforma de dicho Estatuto de Autonomía, llevada a cabo por la Ley Orgánica 6/2006, de 19 de julio, por lo que se ha de determinar la incidencia que deba tener en el presente proceso constitucional en relación con el canon de control a utilizar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extremo resulta aplicable nuestra doctrina sobre el ius superveniens, según la cual el control de las normas que incurren en un posible exceso competencial debe hacerse de acuerdo con las normas del bloque de la constitucionalidad vigentes en el momento de dictar Sentencia [por todas SSTC 135/2006, de 27 de abril, FJ 3 a); 1/2011, de 14 de febrero, FJ 2; y 5/2012, de 17 de enero, FJ 3, y doctrina en ellas citada]. Ello debe llevarnos a analizar la constitucionalidad de los preceptos impugnados a la luz de la delimitación de competencias que se deriva de la mencionada reforma del Estatuto de Cataluña, es decir, de su art 129, en el que se establece que “corresponde a la Generalitat la competencia exclusiva en materia de Derecho civil, con la excepción de las materias que el artículo 149.1.8 de la Constitución atribuye en todo caso al Estado. Esta competencia incluye la determinación del sistema de fuentes del Derecho civil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Hay que subrayar que la cuestión sometida a nuestra decisión la refiere el Letrado del Parlamento de Cataluña exclusivamente a la vulneración por el legislador estatal de las competencias del autonómico en materia de Derecho civil. El reproche, en este sentido, se dirige únicamente contra el apartado 2 del art.1 de la Ley 41/2003 al entender que, dado que la protección del patrimonio de las personas con discapacidad es una institución de carácter marcadamente civil, la Comunidad Autónoma catalana tiene competencia para “conservarla, desarrollarla o modificarla” (ex art. 149.1.8 CE), pero al haberlo hecho previamente el Estado utilizando conjuntamente su competencia exclusiva en materia tributaria otorgando determinados beneficios fiscales a quienes creen y realicen aportaciones a este tipo de patrimonios, ha ahogado por la vía de hecho la competencia autonómica, pues aunque Cataluña elaborara una ley civil, lo que no podría, en caso alguno, es regular los mismos incentivos fiscales.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Dados los términos en los que se plantea la polémica sobre la constitucionalidad del precepto, la clave de la decisión que debemos adoptar se encuentra en la determinación de su encuadramiento competencial, puesto que las competencias del Estado y de la Comunidad Autónoma de Cataluña no tienen igual alcance si la incardinación se produce en la materia de “legislación civil”, como sostiene el Letrado del Parlamento de Cataluña, que si se realiza en la de “hacienda general del Estado”, según postula, en definitiva, el representante del Gobierno de la 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realizar esta operación de delimitación competencial hay que tener en cuenta como criterio de partida, una vez más, nuestra doctrina, según la cual “cuando se ofrezcan por las partes en el proceso constitucional diversas calificaciones sustantivas de las disposiciones o actos en conflicto que pudieran llevar a identificaciones competenciales también distintas, ha de apreciarse, para llegar a una calificación competencial correcta, tanto el sentido o finalidad de los varios títulos competenciales y estatutarios, como el carácter, sentido y finalidad de las disposiciones traídas al conflicto, es decir, el contenido del precepto controvertido, delimitando así la regla competencial aplicable al caso” (STC 153/1989, de 5 de octubre, FJ 5, con cita de las SSTC 252/1988, de 20 de diciembre, y 13/1989, de 26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y en aras del encuadramiento competencial del art. 1.2 de la Ley de protección patrimonial de las personas con discapacidad antes reproducido, se ha de observar que no puede derivarse que la cuestión que estamos examinando deba necesariamente incardinarse en la materia “legislación civil”. Sobre este particular no huelga recordar, de un lado, que este Tribunal no se encuentra vinculado por los encuadramientos competenciales que realizan las propias normas sometidas a su enjuiciamiento (por todas, SSTC 144/1985, de 25 de octubre, FJ 1; 152/2003, de 17 de julio, FJ 7; y 14/2004, de 13 de febrero, FJ 6), y, de otro, no puede olvidarse que en el presente caso la materia de “legislación civil” se yuxtapone con la de “hacienda general del Estado”, y esa concurrencia o yuxtaposición material puede afectar, en concreto, a la protección del patrimonio de las personas con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mediante un somero análisis de la queja de la parte recurrente, hemos de anticipar que el encuadramiento competencial de la cuestión debatida no es acertado, pues la finalidad pretendida con el recurso es la denuncia del establecimiento de determinadas ventajas tributarias para los patrimonios protegidos creados al amparo de las normas de la Ley 41/2003. En efecto, —como advierte el Abogado del Estado— para comprobar la falta de conexión entre el objeto y la finalidad del recurso planteado basta con llevar a cabo el simple ejercicio de suprimir hipotéticamente la norma impugnada, para darse cuenta de que el reproche subsistiría, porque las normas tributarias estatales seguirían haciendo referencia a la Ley de protección patrimonial de las personas con discapacidad, cuyo régimen civil quedaría íntegro e intacto pese a la supresión o invalidación del art. 1.2. “Hay, por ello —afirma el representante del Gobierno de la Nación— una evidente falta de concordancia entre lo impugnado (el art. 1.2) y la finalidad pretendida por el recurso (a saber, que el posible ejercicio de la potestad legislativa catalana sobre la protección patrimonial de los discapacitados no se vea frenada por la falta de ventajas fiscales”.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todavía hemos de ir más allá. Aún en el caso de que fuera correcto considerar que el conflicto se suscita en torno al ejercicio de la competencia legislativa en materia de Derecho civil, del tenor de lo dispuesto en el apartado segundo de su art. 1 de la Ley de protección patrimonial de las personas con discapacidad impugnado, no existe obstáculo que impida al legislador catalán abordar la regulación civil de este tipo de patrimonio, en uso de la competencia en Derecho civil que tiene asumida en el art. 129 de su vigente Estatuto de Autonomía. Y la razón es clara: no sólo en la norma impugnada se reconoce que su aplicación en lo que se refiere a los efectos de incapacitación es preferente respecto a lo establecido en el Código civil (y en este sentido sólo estaría haciendo alusión a su carácter de ley especial), sino que a lo largo de su articulado respeta escrupulosamente su subsidiariedad en relación a las leyes civiles autonómicas que legislen dicho patrimonio (art. 149.1.8 CE). Así, ya en la exposición de motivos, la Ley de protección patrimonial de las personas con discapacidad subraya la aplicación preferente de los Derechos civiles forales o especiales al expresar que “la regulación contenida en esta ley se entiende sin perjuicio de las disposiciones que pudieran haberse aprobado en las comunidades autónomas con Derecho civil propio, las cuales tienen aplicación preferente de acuerdo con el art. 149.1.8 de la Constitución española y los diferentes estatutos de autonomía, siéndoles de aplicación esta ley con carácter supletorio, conforme a la regla general contenida en el art. 13.2 del Código civil”. Posteriormente, en los arts. 4.3, 5.2, 5.5 y 6.2, reitera la preferente aplicación de las normas civiles especiales, mediante el uso de las cláusulas de salvaguardia “y sin más limitaciones que las establecidas en el Código Civil o en las normas de Derecho civil, foral o especial, que, en su caso, fueran aplicables” (art. 4.3); “conforme a los arts. 271 y 272 del Código Civil o, en su caso, conforme a lo dispuesto en las normas de Derecho civil, foral o especial, que fueran aplicables” (art.5.2), “conforme a lo establecido en el Código Civil o en las normas de Derecho civil, foral o especial, que, en su caso, fueran aplicables” (art. 5.5); “sujetándose a las normas generales del Código Civil o de Derecho civil, foral o especial, que fueran aplicables” (art.6.2).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Cabe recordar que en la STC 31/2010, de 28 de junio, FJ 59, ya afirmamos con carácter general, que “[el] segundo apartado del art. 110 EAC define al ‘derecho catalán, en materia de las competencias exclusivas de la Generalitat’, como ‘el derecho aplicable en su territorio con preferencia sobre cualquier otro’” y que “la ‘preferencia’ del Derecho autonómico en materia de competencias exclusivas de la Generalitat no impide la aplicación del Derecho del Estado emanado en virtud de sus competencias concurrentes”. Fue por ello por lo que se concluyó que el sentido del precepto se compadecía sin dificultad con el art. 149.3 CE, “cuyas cláusulas de prevalencia y supletoriedad no se ven menoscabadas por la norma en cuestión” y que “el art. 110 EAC no es contrario a la Constitución en tanto que aplicable a supuestos de competencia material plena de la Comunidad Autónoma y en cuanto no impide el ejercicio de las competencias exclusivas del Estado ex art. 149.1 CE, sea cuando éstas concurren con las autonómicas sobre el mismo espacio físico u objeto jurídico, sea cuando se trate de materias de competencia compartida, cualquiera que sea la utilización de los términos ‘competencia exclusiva’ o ‘competencias exclusivas’ en los restantes preceptos del Estatuto, sin que tampoco la expresión ‘en todo caso’, reiterada en el Estatuto respecto de ámbitos competenciales autonómicos, tenga otra virtualidad que la meramente descriptiva ni impida, por sí sola, el pleno y efectivo ejercicio de las competencias estatales”. Esta misma interpretación la reiteramos además en aquella STC 31/2010, de 28 de junio, de manera concreta respecto al contenido del art. 129 EAC en relación con el art. 149.1.8 CE, en materia de legislación civil al subrayar entonces que “[o]bviamente, el hecho de que el art. 129 EAC no se refiera expresamente a la competencia exclusiva del Estado en materia de legislación civil no perjudica, en absoluto, a la prescripción del primer inciso del art. 149.1.8 CE, pues es evidente que las competencias atribuidas por la Constitución al Estado no precisan de confirmación alguna en los Estatutos de Autonomía (fundamentos jurídicos 59 y 64). Con mejor propiedad, el Estatuto ha de limitarse a la atribución de competencias a la Comunidad Autónoma respectiva, siendo así que la única que el Estatuto catalán puede atribuir a la Generalitat, en el ámbito de la legislación civil, es la que tenga por objeto la conservación, modificación y desarrollo del Derecho civil de Cataluña, debiendo pues entenderse que ‘la competencia exclusiva en materia de Derecho civil’ se contrae a ese específico objeto, sin extenderse al propio de la ‘legislación civil’ como materia atribuida al Estado, a título de competencia exclusiva, por el primer inciso del art. 149.1.8 CE.” (FJ 76).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consecuentes con la doctrina expuesta no podemos por menos que afirmar que el reproche formulado respecto a la vulneración de la competencia autonómica en materia de legislación civil, carece de fundamento y no puede ser atendido.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hemos de coincidir con el Abogado del Estado, en la afirmación de que no se puede imputar al legislador estatal el incumplimiento del deber de colaboración y de lealtad constitucional, pues si bien es cierto que, como hemos recordado en numerosas ocasiones, “en el ejercicio de sus competencias el Estado debe atender a los puntos de vista de las Comunidades Autónomas, según exige el deber de colaboración ínsito en la forma de nuestro Estado y viene reiterando este Tribunal desde la STC 64/1982, de 4 de noviembre, FJ 8, hasta nuestros días: entre las últimas, STC 13/1998, de 22 de enero, FFJJ 9 y 10” (STC 164/2001, de 11 de julio, FJ 48), difícilmente puede haberse lesionado este deber constitucional de colaboración al no existir en el momento de presentarse el recurso de inconstitucionalidad ley autonómica de protección del patrimonio de las personas con discapacidad dictada por el legislador catalán en ejercicio de su potestad legislativa en materia de Derecho civil (ex art. 149.1.8 CE y art 129 EAC vigente). A mayor abundamiento, cabe señalar que la queja del Letrado del Parlamento de Cataluña actualmente se demuestra inconsistente, pues con fecha de 21 de agosto de 2010 se publicó en el “BOE” la Ley 25/2010, de 29 de julio, del libro segundo del Código civil de Cataluña, relativo a la persona y la familia, cuyo título II, capítulo VII (arts. 227-1 a 227-9) que incorpora al Derecho civil catalán la figura del patrimonio protegido, no habiendo dado lugar a colisión competencial alguna en cuanto a su distinto contenido respecto a la norma estatal, ni a limitación en orden a los beneficios tributarios estatales, cuyo disfrute siguen obteniendo igualmente quienes ostentan la vecindad civil catalana y crean y realizan aportaciones a patrimonios protegidos que cumplan la normativa estatal. Cae así por su base el argumento de la parte recurrente sobre el hipotético tratamiento fiscal desigual entre los ciudadanos pertenecientes a las comunidades autónomas con Derecho civil propio, incluso en la medida en que tal argumento pudiera tener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Dicho lo anterior, hay que advertir de nuevo que, de una lectura atenta del escrito de recurso, se extrae la conclusión de que, en realidad, el problema que se ventila en el mismo se ha de encuadrar en el ámbito de las competencias tributarias, en la que de acuerdo con la Constitución española ostentan competencias legislativas el Estado y las Comunidades Autónomas, en el marco de lo dispuesto en las correspondientes normas (art. 149.1.14 en relación con arts. 133.2 y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para el Parlamento de Cataluña el precepto sería inconstitucional por cuanto el legislador estatal para la obtención de determinadas ventajas fiscales en tributos estatales estaría imponiendo al particular el sometimiento a la regulación estatal sobre del patrimonio protegido del discapaz, sin dar opción a la Comunidad Autónoma para legislarlo de manera diferente pero obteniendo los mismos beneficios y, por ello, resulta abusivo el ejercicio del título competencial del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de la demanda debe ser desestimado. Como fácilmente se advierte, el reconocimiento a los sujetos que constituyen un patrimonio protegido o realizan aportaciones al mismo del derecho a disfrutar de exenciones y beneficios fiscales o económicos de conformidad con la Ley 41/2003 se incardina dentro de la competencia exclusiva del Estado ex art. 149.1.14 CE, si bien es cierto que la imposición de los requisitos para su constitución encuentran su acomodo en otras competencias —concretamente la civil— de titularidad igualmente estatal, pero también autonómica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partir de la Ley de protección patrimonial de las personas con discapacidad, más concretamente, de lo dispuesto en su capítulo III (modificación de la normativa tributaria), puede afirmarse —como lo hace el Letrado del Parlamento de Cataluña— que una consecuencia legal atribuida a las aportaciones realizadas a este tipo de patrimonio es la de disfrutar de un régimen fiscal especial, particularmente en en el impuesto sobre la renta de las personas físicas (IRPF), sociedades, donaciones y sucesiones, y transmisiones patrimoniales y actos jurídicos documentados. En la propia exposición de motivos de la Ley de protección patrimonial de las personas con discapacidad se advierte que la adopción de estas medidas obedece a la necesidad de “favorecer las aportaciones a título gratuito a los patrimonios protegidos, reforzando de esta manera los importantes beneficios fiscales que, a favor de las personas con discapacidad, ha introducido la Ley 46/2002, de 18 de diciembre, del Impuesto sobre sociedades, y el Real Decreto Legislativo 1/1993, de 24 de septiembre, por el que se aprueba el texto refundido de la Ley del impuesto sobre transmisiones patrimoniales y actos jurídicos documentados, al objeto de regular el régimen tributario aplicable al discapacitado titular del patrimonio protegido por las aportaciones que se integren en éste y a los aportantes a dicho patrimonio por las aportaciones que realicen”. Pero sentado esto, igualmente habremos de concluir —coincidiendo con la argumentación del Abogado del Estado— que la posibilidad de disfrutar de los beneficios fiscales que versan sobre tributos de titularidad estatal o cuyo establecimiento corresponde al Estado representa la determinación del deber tributario de los beneficiarios y, en cuanto tal, resulta natural a su incardinación en el ámbito competencial del art. 149.1.14 CE. Esta conclusión cuenta, por otro lado, con el respaldo de la doctrina sentada en las SSTC 176/1999, de 30 de septiembre, FJ 4, y 74/2000, de 16 de marzo, FJ 3, acerca de la determinación de la instancia competente para establecer beneficios fiscales, debiendo subrayar que en el presente caso, no estamos ante la definición de un sistema mixto de actuaciones yuxtapuestas sobre un sector sobre el que el Estado carece de competencias específicas (STC 152/1988, de 20 de julio), sino ante la identificación de unos sujetos que gozarán, en virtud de la creación y realización de aportaciones a un patrimonio protegido, de un régimen tributario especial (STC 133/2006, de 27 de abril, FJ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orden de consideraciones debe subrayarse que no se pueden aplicar al reparto de competencias en materia tributaria sin mayor rigor —como pretende la parte recurrente— los criterios establecidos por este Tribunal Constitucional en materia de subvenciones (SSTC 13/1992, de 6 de febrero, FJ 4; 61/1997, de 20 de marzo, FJ 7; 178/2011, de 8 de noviembre, FJ 5; 148/2012, de 5 de julio, FJ 4; y 173/2012, de 15 de octubre, FJ 5). El legislador estatal, competente para regular los tributos antes citados (art. 149.1.14 CE, en relación con arts. 133 y 157 CE), puede establecer los requisitos exigibles para que una determinada exención o beneficio fiscal sean de aplicación y, en consecuencia, la regulación del patrimonio protegido de la persona discapaz, así entendido, forma parte de su competencia tributaria, en la medida en que permita la aplicación de la exención o régimen específico. A este respecto, no huelga tener en cuenta, con carácter general, que el legislador fiscal, ya sea en este caso como en muchos otros, toma como punto de partida conceptos procedentes de otras áreas del Derecho (v.gr., compraventa, sociedad, cesión de créditos, etc.), pero ello no implica que deba asumir su régimen jurídico-privado en su totalidad, sino que, como de hecho es frecuente, las normas tributarias introducen reglas específicas que se apartan del régimen del derecho privado (y, aunque existen numerosos ejemplos de ello, para ilustrarlo basta con citar el art. 11.1 de la Ley del impuesto sobre la renta de las personas físicas (LIRPF) que prescinde expresamente del régimen económico del matrimonio en la atribución de rentas, pues expresamente su apartado 2 establece que “los rendimientos del trabajo se atribuirán exclusivamente a quien haya generado el derecho a su percepción”. Lo mismo sucede en el art. 27.2 LIRPF que se aparta del régimen del Código de comercio y demás normas mercantiles al exigir determinados requisitos específicos para que, en el IRPF, la actividad de arrendamiento de inmuebles tribute como actividad económica. Por estas razones, se debe entender que el régimen jurídico del patrimonio protegido de personas con discapacidad en los impuestos estatales se enmarca en esta autonomía calificadora del legislador tributario y, en consecuencia, tampoco se observa su posible inconstitucionalidad respecto del título competencial reconocido exclusivamente a favor del Estado en el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Conviene centrar, por último, la atención en el argumento alegado por el Parlamento recurrente, según el cual la posible coexistencia de dos regímenes civiles distintos de protección patrimonial de las personas con discapacidad —uno estatal y uno autonómico— conculcaría el derecho a la igualdad (art. 14 CE) y el principio de justicia tributaria (art. 31 CE), pues se otorgarían diferentes ventajas fiscales dependiendo de la vecindad civil que ostente el sujeto pasivo tributario.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de este Tribunal al motivo expuesto debe coincidir con el argumento expuesto por el Abogado del Estado, toda vez que existe una patente falta de concordancia entre la norma impugnada (art. 1.2 de la Ley 41/2003, de protección patrimonial de las personas con discapacidad) y la queja constitucional formulada por el recurrente, ya que no se denuncian las menciones expresas que en el articulado de la Ley 41/2003 se hacen a los beneficios fiscales sobre determinados tributos, sino exclusivamente el precepto que incide sobre el ejercicio de la potestad legislativa de la Comunidad Autónoma de Cataluña para regular la protección patrimonial de las personas con discapacidad, precepto al que, en realidad, se le imputa una omisión causante de la desigualdad denunciada. Y, aunque si bien es cierto que la concurrencia de competencias legislativas en materia de Derecho civil entre el Estado y las Comunidades Autónomas debe llevar consigo la observancia del deber de colaboración leal entre legisladores —dirigida, en su caso, a adaptar las normas tributarias a la normativa autonómica civil—, no lo es menos que el objeto del presente recurso de inconstitucionalidad no versa sobre aquellos preceptos reguladores de las ventajas fiscales vinculadas a la creación y aportación a este tipo de patrimonio especial. Por la razón expuesta ha de ser igualmente rechazado este argumento y desestimada la impugnación del apartado 2 del art.1 de la Ley 41/2003, de protección patrimonial de las personas con discapacidad.</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