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7189-2009, promovido por don Ignacio Mendiburu Iturrain, representado por el Procurador de los Tribunales don Javier Cuevas Rivas y asistido por la Abogada doña Onintza Ostolaza Arruabarena, contra el Auto de 26 de mayo de 2009, de la Sección Primera de la Sala de lo Penal de la Audiencia Nacional, dictado en la ejecutoria núm. 58-1984, dimanante del rollo de Sala núm. 58-1984, sumario núm. 58-1984 del Juzgado Central de Instrucción núm. 1, por el que se acuerda fijar como fecha de licenciamiento definitivo de las penas que cumple el recurrente el día 10 de junio de 2014, y contra el Auto de 24 de junio de 2009, que desestimó el recurso de súplica presentado frente a dicha resolución.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2009, el Procurador de los Tribunales don Javier Cuevas Rivas, en nombre y representación de don Ignacio Mendiburu Iturrain, y bajo la dirección de la Abogada doña Onintza Ostolaza Arruabarena, interpuso recurso de amparo contra las resoluciones judiciales reseñadas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junto con otros, fue condenado por Sentencia firme de 12 de abril de 1986 por la Sección Primera de Sala de lo Penal de la Audiencia Nacional, conforme al Código penal (CP) de 1973, como autor de un delito de pertenencia a banda armada, a la pena de seis años y un día de prisión mayor; como autor de un delito de depósito de armas de guerra, a la misma pena; como autor de un delito de asesinato, a la pena de veintisiete años de reclusión mayor y como autor de un delito de utilización de placas de matrícula falsas, a la pena de seis meses y un día de prisión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de 3 de marzo de 2009, el director del centro penitenciario de San Sebastián, en el que el recurrente se encontraba cumpliendo condena, elevó a la Sala la hoja de cálculo de las penas que extinguía con dos propuestas de licenciamiento definitivo alternativas, para el 13 de julio de 2009 o el 10 de junio de 2014, según se aplicaran o no los criterios de cómputo de redenciones establecidos por el Tribunal Supremo en la Sentencia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se dio traslado de la propuesta al Ministerio Fiscal y al penado, a fin de que informaran sobre la procedencia de la misma, mediante Auto de 26 de mayo de 2009, la Sección Primera de la Sala de lo Penal de la Audiencia Nacional acordó, a la vista de la propuesta formulada por el centro penitenciario, que, de conformidad con el criterio establecido por la citada Sentencia de la Sala de lo Penal del Tribunal Supremo, el licenciamiento definitivo del penado debería tener lugar el 10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interpuso el demandante de amparo recurso de súplica, invocando la lesión de los derechos a la libertad (art. 17.1 CE); del principio de legalidad penal (art. 25.1 CE), en relación con los principios de seguridad jurídica e irretroactividad de las disposiciones sancionadoras desfavorables (art. 9.3 CE); y asimismo la vulneración del derecho a la tutela judicial efectiva en la vertiente de intangibilidad de las resoluciones judiciales firmes (art. 24.1 CE) y la vulneración del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súplica fue desestimado por Auto de 24 de junio de 2009 en el que se rechazó que la aplicación al caso del criterio sentado por la citada Sentencia de la Sala de lo Penal del Tribunal Supremo núm. 197/2006 hubiera ocasionado vulneración alguna de los derechos fundamentales invocados por el recurrente. El penado solicitó la nulidad de la citada decisión, y la petición fue inadmitida a trámite por Auto de 30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justificar la especial trascendencia constitucional del recurso en la necesidad de un pronunciamiento del Tribunal Constitucional sobre una cuestión entonces novedosa en su jurisprudencia, como lo era la doctrina de la Sala de lo Penal del Tribunal Supremo fijada en el denominado “caso Henri Parot”, estimando que trasciende al caso concreto y afecta a numerosos penados que se hallan cumpliendo diversas penas acumuladas a cuyo cumplimiento se ha fijado un límite máximo, el recurrente fundamenta su demanda de amparo en los ocho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tutela judicial efectiva sin indefensión (art. 24.1 CE) y de los derechos a la defensa y a un proceso con todas las garantías (art. 24.2 CE), así como de los derechos reconocidos por los arts. 6 y 13 del Convenio europeo para la protección de los derechos humanos y de las libertades fundamentales (CEDH) y por el art. 14.5 del Pacto internacional de derechos civiles y políticos (PIDCP). Sostiene el recurrente que la Audiencia Nacional acordó en las resoluciones impugnadas la aplicación en su caso de la nueva doctrina de la Sala de lo Penal del Tribunal Supremo que establece un nuevo criterio en cuanto al cómputo de las redenciones por trabajo, que desde entonces pasa a hacerse sobre cada pena acumulada en vez de sobre el límite máximo resultante de la refundición, como se venía haciendo hasta dicha resolución. Considera que su caso es distinto, pues la aplicación del nuevo criterio no se hace al refundir las condenas sino al pronunciarse sobre la propuesta de licenciamiento definitivo formulada por el centro penitenciario, por lo que se desconocen los criterios anteriores utilizados en la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de amparo segundo se aduce la vulneración del principio de legalidad penal (art. 25.1 CE, en conexión con el art. 9.3 CE), por la interpretación realizada por la Audiencia Nacional de los arts. 70.2 y 100 CP 1973 y los arts. 66 del Reglamento de prisiones de 1956 y 202 del Reglamento penitenciario vigente. Según el recurrente, la interpretación sentada por la Sala de lo Penal del Tribunal Supremo en su Sentencia núm. 197/2006 y aplicada en el presente caso por la Audiencia Nacional en las resoluciones judiciales impugnadas, es ajena al tenor literal de dichas normas, a las pautas axiológicas que conforman el ordenamiento constitucional y a los modelos de argumentación aceptados por la comunidad jurídica, y quiebra la interpretación jurisprudencial del art. 100 CP 1973 realizada al respecto a lo largo de toda la historia penitenciaria, conforme a la cual la redención de penas por el trabajo se ha de abonar para el cumplimiento de la pena impuesta, de manera que el tiempo de redención es tiempo de cumplimiento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motivos de amparo tercero y cuarto denuncia el recurrente la vulneración del derecho a la tutela judicial efectiva en cuanto garantiza la intangibilidad de las resoluciones judiciales firmes (art. 24.1 CE), en relación con el derecho a la libertad (art. 17.1 CE) y los principios de legalidad y seguridad jurídica (art. 9.3 CE). Sostiene el demandante que el nuevo criterio sobre el cómputo de las redenciones sobre la totalidad de la condena que realiza la Sala de lo Penal del Tribunal Supremo, aplicado a su caso por la Audiencia Nacional en las resoluciones impugnadas en amparo, supone desconocer lo resuelto en su caso con carácter firme en la providencia de 30 de julio de 1996 que fijó en treinta años el límite máximo de cumplimiento, conforme al art. 70.2 CP 1973, duración ésta que ha de ser el referente para el cómputo de las redenciones. De la misma manera, entiende que la aplicación de las redenciones de penas por el trabajo que a lo largo de los años fueron aprobadas por los Juzgados de vigilancia penitenciaria quedan de hecho sin contenido si no se descuentan del límite máximo de cumplimiento de treinta años; acortamiento de su condena que venía haciéndose conforme a una constante interpretación jurisprudencial de las normas legales que no puede ser alterado en su perjuicio, retrasando la fecha de puesta en libertad —que debió producirse el 13 de junio de 2009—, por la aplicación de un nuevo criterio jurisprudencial desfavorable al penado que atenta contra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quinto motivo de amparo se alega la vulneración del principio de legalidad penal (art. 25.1 CE), en relación con los principios de seguridad jurídica e irretroactividad de las normas sancionadoras no favorables o restrictivas de derechos individuales (art. 9.3 CE) y con los derechos reconocidos por los arts. 7 CEDH y 15 PIDCP. A juicio del recurrente, las resoluciones judiciales impugnadas conllevan una aplicación retroactiva (tácita) de una norma penal limitativa de derechos dictada en 2003 (la Ley Orgánica 7/2003, de 30 de junio, de medidas de reforma para el cumplimiento íntegro y efectivo de las penas, que dio nueva redacción al art. 78 CP 1995) a unos hechos cometidos antes de 1995, esto es, antes de la publicación del vigente Código penal, que fueron juzgados por sentencias declaradas firmes bajo la vigencia del CP 1973, en ninguna de las cuales se había establecido ningún límite a los beneficios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a la igualdad en la aplicación de la ley (art. 14 CE), en relación con el art. 14 CEDH, porque las resoluciones judiciales impugnadas incurren en un injustificado y arbitrario cambio de criterio al aplicar al caso la doctrina de la Sentencia de la Sala de lo Penal del Tribunal Supremo núm. 197/2006, que se aparta de forma arbitraria e irrazonable de su consolidado criterio jurisprudencial precedente sobre el cómputo de la redención de penas por el trabajo, en un momento en el que el CP 1973 ya está derogado y resulta aplicable a un número muy limitado de internos, sin que existan razones que justifiquen dicho cambio de criterio. Se afirma que se trata de un cambio de criterio ad personam, constitucionalmente vedado, del que resulta que al recurrente se le deniega de manera discriminatoria lo que a otros muchos presos ya se les concedió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séptimo motivo de amparo se alega la vulneración del derecho a la libertad personal (art. 17.1 CE), en relación con los arts. 5 y 7.1 CEDH y los arts. 9.1 y 5 y 15.1 PIDCP. Tras resaltar que, conforme a la doctrina constitucional, la redención de penas por el trabajo afecta al derecho a la libertad personal, sostiene el recurrente, con cita del Voto particular conjunto formulado por varios magistrados a la Sentencia de la Sala de lo Penal del Tribunal Supremo núm. 197/2006, que el cambio de criterio jurisprudencial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la lesión del principio que garantiza la orientación de las penas privativas de libertad a la reeducación y reinserción social (art. 25.2 CE), en relación con las Reglas mínimas para tratamiento de los reclusos elaboradas en el primer Congreso de las Naciones Unidas sobre prevención del delito y tratamiento del delincuente (Ginebra, 1955), y del Pacto internacional de derechos civiles y políticos. Entiende que el art. 70.2 CP 1973 estaba inspirado en un humanismo penal contrario a la ejecución de reclusiones excesivamente prolongadas. El trabajo penitenciario, y las redenciones ordinarias y extraordinarias persiguen una finalidad resocializadora. La interpretación adoptada por los Autos impugnados dejaría sin efecto estas previsiones, a juicio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solicitando por otrosí en la demanda la suspensión de la ejecución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marzo de 2012, la Sala Primera de este Tribunal acordó la admisión a trámite de la demanda de amparo y, a tenor de lo dispuesto en el art. 51 de la Ley Orgánica del Tribunal Constitucional (LOTC), requerir atentamente a la Sección Primera de la Sala de lo Penal de la Audiencia Nacional para que en el plazo no superior a diez días remitiera testimonio de las actuaciones correspondientes a la ejecutoria núm. 58-1984, rollo de Sala con idéntico número, interesándose al propio tiempo el emplazamiento de quienes fueron parte en el procedimiento, a excepción del recurrente, ya personado,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Sala acordó la formación de pieza separada para la tramitación del incidente sobre la suspensión solicitada, concediendo al recurrente y al Ministerio Fiscal un plazo común de tres días para que alegasen lo que estimasen pertinente sobre dicha suspensión. Evacuado dicho trámite de alegaciones, la Sala desestimó la solicitud de suspensión mediante Auto de 7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4 de julio de 2012, se tuvieron por recibidos los testimonios de las actuaciones en soporte informático remitidos por el servicio común de ejecutorias de la Sala de lo Penal de la Audiencia Nacional y se procedió, conforme a lo establecido en el art. 52 LOTC, a dar traslado en copia en disco compacto de las actuaciones por plazo común de veinte días al Ministerio Fiscal y a las partes personadas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en este Tribunal el 7 de septiembre de 2012, en el que reiteró las formuladas en la demanda de amparo, poniendo de manifiesto que el Tribunal Europeo de Derechos Humanos acababa de dictar Sentencia de 10 de julio de 2012 en un caso similar (asunto Del Rio Prada contra España) en la que declaraba que la fijación y aplicación jurisprudencial del criterio de cómputo de redenciones cuestionado en la demanda de amparo era contrario a los arts. 5 y 7 CEDH, en cuanto garantizan el derecho a la seguridad y libertad y el principio de legalidad de las infracciones y penas. En su opinión, dicho criterio debe marcar el análisis de la presente cuestión dado que es contrario a los derechos invocados la aplicación retroactiva de la jurisprudencia indicada por ser desfavorable a sus intereses y llevar aparejado un alargamiento material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se le dio traslado del testimonio completo de las actuaciones, el Ministerio Fiscal presentó en este Tribunal su escrito de alegaciones el 23 de noviembre de 2012. Considera en primer lugar el Fiscal que la Sentencia del Tribunal Europeo de Derechos Humanos de 10 de julio de 2012, asunto Del Río Prada c. España, no afecta en este momento al presente caso, toda vez que dicha Sentencia no tiene carácter definitivo, de conformidad con lo previsto en el art. 44.2 CEDH, al ser susceptible de revisión por la Gran Sala a solicitud de parte en el plazo de tres meses, debiendo estarse entre tanto a la doctrina sentada por el Tribunal Constitucional en casos semejantes al presente desde la STC 39/2012, de 29 de marzo, hasta la reciente STC 152/2012,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Fiscal sostiene que, como ya se apreciara en casos similares al presente en las SSTC 58/2012, 60/2012 y 63/2012, de 29 de marzo todas ellas, así como en las STC 128/2012, de 18 de junio, 157/2012, de 17 de septiembre y 179/2012, de 15 de octubre, concurre el óbice procesal consistente en la falta de agotamiento de la vía judicial [art. 44.1 a) LOTC, en relación con el art. 50.1 a) LOTC], lo que debe determinar la inadmisión del recurso de amparo, toda vez que el demandante no recurrió en casación (art. 988 de la Ley de enjuiciamiento criminal) contra el Auto de la Sección Primera de la Sala de lo Penal de la Audiencia Nacional de 24 de junio de 2009, que desestimó el recurso de súplica interpuesto contra la anterior resolución de 26 de mayo que aprobó la propuesta de licenciamiento definitivo del demandante para el 10 de junio de 2014. A lo que se ha de sumar que el demandante interpuso una solicitud de nulidad de actuaciones improcedente, que fue inadmitida a trámite, y que, aunque no alargó el plazo para demandar el amparo, no consta en las actuaciones que le fuera notificada antes de solicitar el amparo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en el que no fuera apreciada la concurrencia de la causa de inadmisión señalada, el Fiscal interesa la denegación del amparo, por entender que las resoluciones impugnadas no infringen los derechos fundamentales invocados en la demanda, conforme a los razonamientos de la doctrina fijada por el Pleno en la STC 39/2012.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motivos de la demanda que se refieren a la cuestión de fondo, y que se centran en combatir la aplicación que han hecho las resoluciones impugnadas de la doctrina establecida en la Sentencia de la Sala de lo Penal del Tribunal Supremo núm. 197/2006, señala el Fiscal que también estas quejas deben ser descartadas, a la vista de la ya referida doctrina constitucional. Trasladándola al presente caso, y en particular por lo que se refiere a la alegada lesión del derecho a la tutela judicial efectiva en la vertiente del derecho a la intangibilidad de las resoluciones firmes, señala el Fiscal que el pretendido efecto de intangibilidad, en cuanto al criterio de cómputo de las redenciones por trabajo, no puede predicarse de ninguna decisión adoptada en la ejecutoria, pues en ella no se ha dictado resolución alguna que contenga criterio de cómputo de los beneficios penitenciarios de redención del art. 100 CP 1973. No se infringe, por tanto, el principio de intangibilidad por las resoluciones judiciales impugnadas en amparo, que, acogiendo el criterio establecido en la Sentencia de la Sala de lo Penal del Tribunal Supremo núm. 197/2006, aprueban el licenciamiento definitivo del recurrente para el 10 de junio de 2014, puesto que tales resoluciones no revisan ninguna situación jurídica establecida en una anterior resolución firme sobre el cómputo y aplicación de los beneficios de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en relación con el resto de motivos, y singularmente del que afirma la vulneración del art. 25.2 CE, propone su desestimación con cita de los argumentos expuestos en la STC 114/2012,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febrero de 2013 se acordó señalar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24 de junio de 2009 de la Sección Primera de la Sala de lo Penal de la Audiencia Nacional, que desestimó el recurso de súplica presentado contra el anterior Auto de 26 de mayo por el que se acordó fijar el día 10 de junio de 2014 como fecha para el licenciamiento definitivo de las penas privativas de libertad que cumple el recurrente, en aplicación del criterio establecido por la Sentencia de la Sala de lo Penal del Tribunal Supremo núm. 197/2006, de 28 de febrero, según la cual, en caso de cumplimiento sucesivo de penas a las que se ha fijado un límite máximo de duración, la redención de penas por el trabajo ha de computarse sobre cada una de las penas impuestas que se cumplen sucesivamente por orden de gravedad, y no sobre el límite máximo de cumplimiento efectivo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argumentación que ha quedado expuesta en los antecedentes de esta resolución, se denuncia en la demanda de amparo la supuesta vulneración de los derechos fundamentales a la tutela judicial efectiva sin indefensión (art. 24.1 CE) y a la defensa (art. 24.2 CE); a la legalidad penal (art. 25.1 CE), en conexión con los principios del art. 9.3 CE; a la tutela judicial efectiva en la vertiente de intangibilidad de las resoluciones judiciales firmes (art. 24.1 CE), en relación con los principios de legalidad y seguridad jurídica (art. 9.3 CE); a la igualdad en la aplicación de la ley (art. 14 CE); así como la vulneración del principio de orientación de las penas privativas de libertad a la reeducación y reinserción social (art. 25.2 CE); todo ello en relación con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con carácter principal la inadmisión del recurso de amparo ex arts. 44.1 a) y 50.1 a) de la Ley Orgánica del Tribunal Constitucional (LOTC), por considerar incumplido el requisito procesal que exige el previo agotamiento de la vía judicial y, subsidiariamente, su desestimación, por entender que las resoluciones judiciales impugnadas no han vulnerado los derechos fundamentales invocados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tiene declarado reiteradamente,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18/2002, de 28 de enero, FJ 3; 158/2002, de 16 de septiembre, FJ 2; 69/2004, de 19 de abril, FJ 3;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presupuestos inexcusables para la admisibilidad de toda demanda de amparo se encuentra la exigencia establecida por el art. 44.1 a) LOTC de “que se hayan agotado todos los medios de impugnación previstos por las normas procesales para el caso concreto dentro de la vía judicial”.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Así, el requisito de agotar la vía judicial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la Constitución reserva a la jurisdicción ordinaria (art. 117.3 CE) y al propio tiempo para no desnaturalizar la función jurisdiccional propia de este Tribunal como intérprete supremo de la Constitución (entre otras muchas, SSTC 85/1999, de 10 de mayo, FJ 5; 211/1999, de 29 de noviembre, FJ 2; 71/2000, de 13 de marzo, FJ 3; 128/2002, de 3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las actuaciones conduce a apreciar la concurrencia del óbice aducido por el Ministerio Fiscal en su escrito de alegaciones, a la vista de lo declarado por el Pleno de este Tribunal en casos similares en las SSTC 58/2012, 60/2012 y 63/2012, todas ellas de 29 de marzo, así como en las más recientes SSTC 128/2012, de 18 de junio; 152/2012, de 16 de julio; 157/2012, de 17 de septiembre, y 179/2012, de 15 de octubre, lo que determina la inadmisión del presente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recurrente en amparo impugna el Auto de 26 de mayo de 2009 de la Sección Primera de la Sala de lo Penal de la Audiencia Nacional, por el que se aprueba su licenciamiento definitivo para el día 10 de junio de 2014, resolución que fue confirmada en súplica mediante el Auto de 24 de junio siguiente de la misma Sala y Sección, igualmente impugnado en amparo. Ahora bien, el recurrente acude directamente ante este Tribunal sin haber intentado hacer uso del recurso de casación ante la Sala de lo Penal del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1973— cabrá interponer recurso de casación por infracción de ley. Tal previsión resulta aplicable a los Autos que aprueban el licenciamiento definitivo en condenas de cumplimiento sucesivo en cuanto lo resuelto en ellos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más de un año antes de dictarse las resoluciones impugnadas en amparo mediante el Auto de la Sala de lo Penal del Tribunal Supremo de 7 de abril de 2008, dictado precisamente al resolver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abona la recurribilidad en casación de los Autos de licenciamiento definitivo en cuanto concretan y fijan definitivamente el máximo de cumplimiento respecto de las penas impuestas, fijación de criterio jurisprudencial que, tanto tiempo después, no podía ser ignorada por la representación procesal y la defensa letrada del demandante de amparo (SSTC 58/2012, FJ 3; 60/2012, FJ 3; 63/2012, FJ 3; 128/2012, FJ 3 y 152/2012, FJ 3, así como 157 y 179/2012, FJ 3).</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Ignacio Mendiburu Iturrain.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