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6112-2012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6112-2012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en el recurso de amparo núm. 6112-2012.</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octubre de 2012, el Procurador de los Tribunales don Carlos Piñeira de Campos en nombre y representación de don Abdelkader Castellanos de la Fuente y otros, y bajo la dirección del Letrado don Javier Cremades García, interpuso recurso de amparo contra el Auto del Juzgado Central de lo Contencioso-Administrativo núm. 1 de 17 de septiembre de 2012, dictado en el procedimiento abreviado núm. 81-2012, por el que se desestima el recurso de reposición interpuesto contra la providencia de 19 de junio de 2012, en la que se acuerda que deben interponerse por separado el recurso contencioso-administrativo formulado de manera conjunta por más de quince mil afectados contra las resoluciones las denegaciones de responsabilidad patrimonial de la Administración por cierre del espacio aéreo.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las resoluciones judiciales impugnadas. A esos efectos, se expone que cada día que avanzan los procedimientos abiertos debido al cumplimiento de lo acordado en las resoluciones impugnadas se hace más difícil e imposible una reparación de la desacumulación.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14 de febrero de 2013, acordó, respectivamente, la admisión a trámite de la demanda de amparo y la formación de pieza separada para la tramitación del incidente sobre la suspensión solicitada y conceder a los recurrentes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25 de febrero de 2013, presentó alegaciones en las que, enunciando la jurisprudencia de este Tribunal sobre el particular, interesó que se denegara la suspensión solicitada, argumentando que las decisiones judiciales impugnadas constituyen resoluciones de mero contenido negativo al denegar la posibilidad de una interposición conjunta de un recurso contencioso-administrativo por parte de todos los recurrentes en amparo, por lo que su suspensión equivaldría a una anticipación del otorgamiento del recurso de amparo. Por otro lado, también destaca el Ministerio Fiscal, por lo que se refiere a una eventual pérdida de finalidad del procedimiento de amparo, que la restauración en la integridad del derecho que se afirma vulnerado podría lograrse declarando la nulidad de las decisiones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por escrito registrado el 22 de febrero de 2013, presentaron alegaciones insistiendo en la necesidad de la suspensión de las resoluciones impugnadas por los graves perjuicios que supone que el conocimiento de los diversos recursos esté recayendo en los distintos Juzgados Centrales de lo Contencioso-Administrativo, lo que está provocando criterios y fallos dispares tanto en lo referido al pago de tasas judiciales, como a la posibilidad de actuar de manera acumulada varios recurrente, alcanzando actualmente, incluso, al fallo de las diversas Sentencias pronunciadas y las condenas en costas, lo que está causando graves perjuicios económicos. Igualmente, se destaca que la suspensión no ocasionaría ninguna perturbación grave a un interés constitucional o los derechos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 En atención a esta previsión legal, el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(por todos, ATC 124/2012, de 18 de junio, FJ 1). Igualmente, también se ha hecho especial incidencia, por un lado, en que la acreditación del perjuicio es carga del recurrente, quien debe precisar los concretos perjuicios que de la ejecución se deriven, así como justificar o argumentar razonadamente la irreparabilidad de los mismos; y, por otro, que el perjuicio irreparable debe ser real, sin que sea posible alegar un perjuicio futuro o hipotético o un simple temor y que la pérdida de la finalidad del amparo no puede equipararse a la mayor o menor dificultad, molestia o incomodidad para el recurrente (por todos,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este Tribunal ha establecido el criterio de que la ejecución de las resoluciones judiciales cuyos efectos son fundamentalmente patrimoniales o de contenido económico, con carácter general, ni causa un perjuicio irreparable al obligado al pago, ni puede hacer perder al amparo su finalidad, al ser posible la restitución íntegra de lo ejecutado. De ese modo, sólo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(por todos, ATC 81/2012, de 7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decisión judicial cuya suspensión se insta es la referida a la negativa de que los recurrentes puedan formular de manera acumulada la impugnación judicial de la denegación de la responsabilidad patrimonial de la Administración por el cierre del espacio aéreo. Frente a dicha decisión y la consecuencia de que se haya tenido que proceder a demandar de manera individualizada por los diferentes recurrentes, se alega que ello provoca un perjuicio irreparable derivado de la disparidad de criterios sobre aspectos como la necesidad del pago de tasas judiciales, posibilidad de actuar de manera acumulada varios recurrente, e incluso sobre la cuestión de fondo respecto de la existencia de responsabilidad patrimonial y las condenas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debe concluirse que, por la propia naturaleza de la acción ejercitada por los recurrentes en la vía judicial ordinaria, se pone de manifiesto que los perjuicios alegados son todos de naturaleza económica y que, por tanto, no son susceptibles de causar un perjuicio irreparable que hiciera perder al amparo su finalidad, al ser posible su restitución económica íntegra. Al margen de ello, además, tampoco en las alegaciones de los recurrentes se acredita que esos perjuicios económicos alegados sean de tal magnitud o entidad para cada uno de los afectados que resulte necesario excepcionar la regla general de no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tal como también destaca el Ministerio Fiscal, el contenido negativo de la decisión judicial impugnada determinaría que de accederse a la suspensión la consecuencia inmediata sería la procedencia de continuar con la acción conjunta iniciada por los recurrentes lo que, en última instancia, implicaría una otorgamiento anticipado del amparo, desnaturalizando la naturaleza cautelar de la medida (por todos, AATC 314/2006, de 25 de septiembre, FJ 2; o 43/2008, de 11 de febrero, FJ 2).</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solicitada en el recurso de amparo núm. 6112-2012.</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