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30 de enero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10616-2006, avocado al Pleno, promovido por don Zigor Blanco Santiesteban, representado por el Procurador de los Tribunales don Javier Cuevas Rivas y asistido por el Letrado don Alfonso Zenón Castro, contra la Sentencia de la Sala de lo Penal del Tribunal Supremo de 4 de octubre de 2006 que desestimó el recurso de casación núm. 10203-2006 interpuesto contra la Sentencia de la Sección Segunda de la Sala de lo Penal de la Audiencia Nacional de 30 de noviembre de 2005, dictada en el rollo núm. 30-2003. Ha intervenido el Ministerio Fiscal.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noviembre de 2006, el Procurador de los Tribunales don Javier Cuevas Rivas, en nombre y representación de don Zigor Blanco Santiesteban,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en los que tiene su origen el presente recurso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Segunda de la Sala de lo Penal de la Audiencia Nacional dictó Sentencia el 30 de noviembre de 2005 por la que condenó al recurrente, junto a otras cuatro personas, como autor de dos delitos de asesinato terrorista en grado de tentativa, a la pena de diez años de prisión por cada uno, con la accesoria de dieciséis años de inhabilitación absoluta; y, como autor de un delito de daños, a la pena de dos años de prisión con la accesoria de nueve años de inhabilitación absoluta; así como a la responsabilidad civil consiguiente, en favor de las víctimas y entidades perjudicadas por los daños y perjuicios causados; y al abono de las costas procesales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relato de los hechos declarados probados, el recurrente, junto a otros integrantes de un grupo organizado y siguiendo un plan preestablecido en el marco de las acciones de la llamada lucha callejera o “kale borroka”, el día 5 de agosto de 2001, tras inutilizar previamente el alumbrado público, procedieron a lanzar artificios incendiarios contra la sucursal núm. 5 de la entidad bancaria BBK en Portugalete, al objeto de que acudieran funcionarios de la Ertzaintza. Personados dos agentes en un vehículo camuflado, fueron reconocidos por los asaltantes, quienes procedieron a romper los cristales del vehículo policial con numerosos objetos contundentes y lanzaron a su interior “cócteles molotov”, incendiando el vehículo y causando graves quemaduras a los dos agentes que se encontraban en su interior, quienes tuvieron que ser rescatados por otros compañeros que acudieron en su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resultas de dicha acción, uno de los agentes sufrió quemaduras en el 10 por 100 de su cuerpo, que le afectaron a la cara, espalda y brazo izquierdo, quedándole secuelas diversas; el segundo agente sufrió quemaduras en el 30 por 100 de su cuerpo, que le afectaron a la cara, cuello, ambas manos, antebrazos, brazos y espalda, quedándole también importantes secuelas. Se causaron daños en la oficina bancaria y en diversos vehículos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de amparo interpuso recurso de casación contra la Sentencia, por infracción de precepto constitucional, invocando la lesión de sus derechos a la intimidad (art. 18.1 CE) y a la autodeterminación informativa (art. 18.4 CE), así como a un proceso con todas las garantías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Sala de lo Penal del Tribunal Supremo dictó la Sentencia núm. 949/2006, de 4 de octubre, mediante la que desestimó el recurso de casación presentado por el recurrente, confirmándose así el pronunciamiento condenatorio de instancia respecto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vulneración del derecho a la intimidad personal (art. 18.1 CE) a causa de que el análisis del perfil genético del recurrente fue realizado por la policía autonómica sin ningún tipo de control. Se afirma que esta prueba se realizó tras haber recogido un agente una colilla de cigarrillo arrojada por el recurrente cuando se encontraba detenido por otra causa, confrontándose con los restos genéticos hallados en una prenda utilizada durante la actuación delictiva. Considera que tal análisis, pese a no suponer una intervención corporal, habría precisado de autorización judicial, pues afecta al derecho a la intimidad, al poder revelar datos sensibles e íntimos de la persona, por lo que su práctica debió estar rodeada de esta garantía, para tener así seguridad de que las personas que lo realizan no se exceden en su cometido y evitar abusos o cesión de datos a terceros no autorizados.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alega el demandante la infracción de la garantía de “autodeterminación informativa” prevista en el art. 18.4 CE, a causa de que la Ertzaintza habría procedido a incluir en una base de datos informatizada el resultado del análisis de las muestras genéticas del recurrente, sin ningún tipo de control administrativo ni de otro orden, sin que se sepa quién o quiénes tienen acceso a tales datos ni quiénes son sus responsables, ni si esos datos personales van a ser utilizados para otros fines o durante cuánto tiempo se conservarán y si podrán ser utilizados en futuros procedimientos penales. Se habría actuado por dicha policía autonómica al margen de la normativa vigente, por lo que estaríamos ante un ataque a la intimidad, por no darse las garantías suficientes y adecuadas en el tratamiento de estos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se aduce la infracción del derecho a la presunción de inocencia (art. 24.2 CE) porque los órganos judiciales habrían apreciado como prueba de cargo el análisis de ADN, que no puede considerarse válida por haberse realizado sin autorización judicial, resultando que todas las demás derivadas de esta prueba también han de reputarse ilícitas por aplicación de lo dispuesto en el art. 11.1 de la Ley Orgánica del Poder Judicial (LOPJ). Además, se da una falta absoluta de intervención judicial en “la toma de muestra indubitada” (colilla arrojada en la celda), siendo así que cuando se quiere que esta diligencia tenga carácter probatorio ha de intervenir un Juez, de forma que con su participación queden precisados el objeto recogido, el lugar donde éste se encontraba y las demás circunstancias necesarias para dejar acreditada la pertenencia a la persona a la que se atribuye. En este caso el análisis se ha practicado sobre muestras biológicas del recurrente obtenidas y conservadas subrepticiamente, no siendo recogidas por un médico forense sino por un policía sin ninguna preparación al respecto. Por otra parte, no se documentó convenientemente la recogida de las muestras, no existiendo la más mínima “cadena de custodia” que demuestre que la evidencia recogida contenga la saliva del recurrente, dándose cuenta al Juez de estas diligencias muy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dice también lesionado el derecho a la presunción de inocencia (art. 24.2 CE) porque, con independencia de la licitud o no de la prueba de ADN, no concurre prueba de cargo suficiente para la condena. Así, este análisis no pasa de ser sino una mera prueba indiciaria, limitándose el órgano judicial en este caso a recoger la coincidencia del perfil genético del imputado con el encontrado en la prenda intervenida, sin darse explicación alguna sobre cómo tal circunstancia avalaría su participación en los hechos probados. Por el contrario, concurren otros elementos probatorios, como las declaraciones prestadas en el juicio oral por algunos testigos, que conducirían a una conclusión contraria, al desprenderse de éstas que la prenda encontrada podría haber estado en el lugar de los hechos con anterioridad o bien podría haber sido utilizada por otra persona posteriormente. En este sentido, cabe significar que los restos de ADN corresponden al pelo recogido en un jersey, siendo ésta una prenda que no se usa específicamente para este tipo de acciones delictivas.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entiende el demandante que se ha producido una violación de su derecho a un proceso con todas las garantías (art. 24.2 CE), por cuanto el recurso de casación interpuesto no ha satisfecho el derecho a la doble instancia en materia penal establecido en el art. 14.5 del Pacto internacional de los derechos civiles y políticos (PIDCP). Dicho recurso no habría supuesto un mecanismo efectivo de control del fallo condenatorio y de la pena impuesta, al no permitir al Tribunal Supremo proceder a una nueva valoración de la prueba y de los hechos declarados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octubre de 2008 la Sección Cuarta de este Tribunal, de conformidad con lo dispuesto en el art. 50.3 de la Ley Orgánica del Tribunal Constitucional (LOTC) en su redacción anterior a la aprobada por la Ley Orgánica 6/2007, de 24 de mayo, acordó conceder un plazo común de diez días a la parte demandante de amparo y al Ministerio Fiscal para que formularan las alegaciones que estimasen pertinentes acerca de la conveniencia de apreciar la causa de inadmisión prevista en el art. 50.1 c) LOTC, consistente en la carencia manifiesta de contenido constitucional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del recurrente cumplimentó el trámite de alegaciones mediante escrito registrado el 21 de noviembre de 2008, en el que sostuvo que el recurso no carecía de contenido constitucional, reiterando en lo sustancial los razonamientos jurídicos ya expresados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del Tribunal el día 2 de diciembre de 2008, el Ministerio Fiscal formuló sus alegaciones, solicitando la inadmisión de la demanda por falta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análisis genético practicado por la policía autonómica sin contar con autorización judicial ni consentimiento del afectado, comienza el Fiscal señalando que desvelar el ADN no codificante a los meros efectos identificativos de una persona para su imputación criminal comporta una injerencia mínima en su derecho a la intimidad, pues todas las personas poseen datos identificativos de público conocimiento y de obligada constatación desde el momento mismo de su nacimiento. No obstante, la ley puede autorizar a la policía judicial la práctica de determinadas inspecciones, reconocimientos e incluso intervenciones corporales leves, señalando el art. 11.1 g) de la Ley Orgánica 2/1986, de 13 de marzo, de fuerzas y cuerpos de seguridad, que éstas, entre otras funciones, tienen la de “investigar los delitos para descubrir y detener a los presuntos culpables, asegurar los instrumentos, efectos y pruebas del delito, poniéndoles a disposición del Juez o Tribunal competente y elaborar los informes técnicos y periciales procedentes”, por lo que, en este caso, el análisis de las muestras biológicas recogidas tiene cobertura legal. Por lo demás, el analizar los restos de un cigarrillo para poder determinar el perfil genético de una persona a los meros efectos identificativos, a fin de compararlo con el perfil genético de personas implicadas en graves hechos delictivos cuya identidad era desconocida, respeta los principios de proporcionalidad y razonabilidad, al no existir otro modo de posible actuación investigadora.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supuesta lesión de la libertad informativa del art. 18.4 CE, rechaza el Fiscal que se haya producido, pues el análisis se ha realizado por un organismo público sujeto a una rígida normativa en su funcionamiento y a los mecanismos de control y seguridad normativamente previstos. De otra parte, el fichero en el que se recogen los datos investigados está excluido del régimen de la Ley Orgánica 15/1999, de 13 de diciembre, de protección de datos de carácter personal, a la vista de su art. 2.2 c), al tratarse de la investigación del “terrorismo y otras formas graves de delincuencia organizada”. Así las cosas, los datos archivados se limitan a desvelar los perfiles genéticos pertenecientes a autores de delitos de estas características para proceder a su identificación, concurriendo las notas tanto de necesidad como de adecuación y proporción, pues, dada la forma de actuación delictiva, la identidad de los partícipes en la misma no es susceptible de ser conocida por otros métodos.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toma de las muestras, razona el Ministerio público que parece claro que las colillas arrojadas al suelo por el demandante podían ser recogidas por los funcionarios policiales; es más, dicha recogida, si hubiera sido seguida de su ulterior tratamiento como basura, no sería objetable por el demandante. No sólo esta actuación estaría amparada por el art. 11.1 g) de la Ley Orgánica 2/1986 y el art. 282.1 de la Ley de enjuiciamiento criminal, que autorizan a la policía judicial a recoger las pruebas de los delitos, sino que también parece razonable que una pronta y cuidadosa recogida de estos restos biológicos, para evitar así riesgos de manipulación y contagio, presenta menos riesgos que una actuación más alejada en el tiempo. Por otra parte, la concurrencia en este caso de la denominada “cadena de custodia” de dichas muestras ha podido ser valorada por los órganos judiciales a través de los testimonios en el juicio oral de los policías intervinientes, tanto de los que recogieron las colillas, como de los que las enviaron al laboratorio y de los peritos que realizaron los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orden al cuarto motivo, entiende el Fiscal que no se ha producido lesión alguna de la presunción de inocencia, pues la Sentencia condenatoria tuvo por acreditados los hechos en virtud de una pluralidad de pruebas testificales y periciales, extendiéndose en sus razonamientos sobre la coincidencia del perfil genético del recurrente con el hallado en la prenda intervenida. Además, el órgano judicial examinó la prueba de descargo presentada por su defensa, considerándola irrelevante, apareciendo huérfana de todo sustento la afirmación que se hace en la demanda de que otros indicios avalarían una conclusión contraria respecto a la autoría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no aprecia el Fiscal una vulneración del derecho a la segunda instancia penal, porque las cuestiones planteadas por el condenado en su recurso de casación (sobre la validez del análisis de ADN, ausencia de prueba de cargo para su condena y otras) han sido examinadas por el Tribunal Supremo, satisfaciéndose así las exigencias del art. 14.5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17 de marzo de 2009 la Sala Segunda de este Tribunal acordó admitir a trámite la demanda y, a tenor de lo dispuesto en el art. 51 LOTC, solicitar a la Sala de lo Penal del Tribunal Supremo y a la Sección Segunda de la Sala de lo Penal de la Audiencia Nacional la remisión de certificación o fotocopia adverada de las actuaciones correspondientes al recurso de casación núm. 10203-2006 y al rollo núm. 30-2003, respectivamente. También se acordó que se procediera al emplazamiento de quienes hubiesen sido parte en el procedimiento, excepto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Habiéndose solicitado, por otrosí en la demanda, la suspensión de la ejecución de la Sentencia condenatoria impugnada, por providencia de 17 de marzo de 2009 la Sala Segunda acordó formar la correspondiente pieza separada de medidas cautelares y, de conformidad con lo previsto en el art. 56.4 LOTC, conceder un plazo común de tres días al Ministerio Fiscal y a la parte recurrente para que alegasen lo que estimaran pertinente en relación con dicha pretensión. El Fiscal presentó sus alegaciones mediante escrito registrado el 1 de abril de 2009, solicitando la denegación de la petición suspensiva. El demandante reiteró su solicitud por escrito de 8 de abril de 2009. Finalmente, la Sala dictó el ATC 138/2009, de 11 de mayo, mediante el que se denegó la suspensión solicitada, tanto en relación a las penas privativas de libertad y sus accesorias, como en orden a los pronunciamientos de contenido patrimonial 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diligencia de ordenación de 1 de octubre de 2009 se tuvieron por recibidos los testimonios remitidos por los órganos judiciales. En la misma diligencia se acordó, a tenor de lo dispuesto en el art. 52.1 LOTC, dar vista de las actuaciones por un plazo común de veinte días al Ministerio Fiscal y al recurrente en amparo, para que presentaran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cumplimentó este trámite de alegaciones el 26 de octubre de 2009, solicitando la denegación del amparo, con base en los razonamientos ya expuestos en su anterior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 propuesta de la Sala Segunda y de conformidad con lo establecido el art. 10.1 n) LOTC, el Pleno del Tribunal, por providencia de 21 de octubre de 2010,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acuerdo del Presidente del Tribunal de 14 de enero de 2014, de conformidad con el art. 15 LOTC y el Acuerdo de 20 de enero de 2005 del Pleno del Tribunal (“Boletín Oficial del Estado” de 25 de enero de 2005) el Excmo. Sr. Presidente asumió la ponencia del presente recurso de amparo, en sustitución del Magistrado don Francisco José Hernando Santiago, por fallecimiento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28 enero de 2014, se acordó señalar para deliberación y votación de la presente Sentencia el día 30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Son objeto de impugnación en el presente proceso de amparo la Sentencia de la Sección Segunda de la Sala de lo Penal de la Audiencia Nacional de 30 de noviembre de 2005 que condenó al recurrente como autor de dos delitos de asesinato terrorista en grado de tentativa y un delito de daños, así como la Sentencia de la Sala de lo Penal del Tribunal Supremo de 4 de octubre de 2006 que desestimó el recurso de casación formulado contra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atribuye a estas resoluciones la vulneración de su derecho a la intimidad personal (art. 18.1 CE), al haberse realizado por la policía autonómica vasca sin autorización judicial un análisis de muestras biológicas suyas que fue confrontado con el de otras halladas en el lugar de los hechos; al tiempo, se habría infringido el derecho a la “autodeterminación informativa” reconocido en el art. 18.4 CE, por haberse incluido su perfil de ADN en un fichero policial sin respetarse las garantías previstas en el ordenamiento para el tratamiento de este tipo de datos de naturaleza personal. Además, dice haberse infringido el derecho a la presunción de inocencia (art. 24.2 CE) al haberse sustentado su condena en la prueba antes indicada, cuya ilicitud debió privarla de todo valor, dada la ausencia de control judicial y no haberse respetado por la policía la necesaria “cadena de custodia” sobre las muestras biológicas. Se añade que, con independencia de lo dicho, la coincidencia de su perfil genético con el encontrado en la prenda intervenida en el lugar de los hechos no es concluyente de su participación en los mismos, existiendo en las actuaciones otros elementos probatorios que avalan una conclusión contraria. Finalmente, aduce la lesión del derecho a un proceso con todas las garantías (art. 24.2 CE) ya que, a su juicio, el recurso de casación formulado no ha servido como un mecanismo efectivo de revisión de la condena impuesta, en los términos exigidos por el art. 14.5 del Pacto internacional de los derechos civiles y políticos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la desestimación del recurso de amparo, pues la injerencia mínima que pueda suponer la realización del análisis genético del recurrente, con finalidad meramente identificativa, estaba permitida legalmente a la policía judicial en el marco de sus obligaciones de investigación del delito, concurriendo en este caso las notas de proporcionalidad y razonabilidad. La libertad informativa tampoco ha sido vulnerada pues el procesamiento de datos fue efectuado por un organismo público con la única finalidad de desvelar los perfiles genéticos de autores de delitos de graves características, estando excluido este fichero del régimen de la Ley Orgánica 15/1999, de 13 de diciembre, de protección de datos de carácter personal. De otro lado, añade que entre las funciones de la policía también está la de recoger las pruebas del delito, en este caso los restos biológicos, pudiendo haber sido comprobada por el Tribunal sentenciador la regularidad de la “cadena de custodia” de las muestras a través de los interrogatorios en el juicio de los funcionarios policiales, concurriendo prueba válida en la que basar la condena del recurrente. Por último, estima que el recurso de casación resuelto por el Tribunal Supremo ha cumplido adecuadamente su función en orden a la revisión de la condena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Siguiendo nuestro habitual criterio de otorgar prioridad al enjuiciamiento de aquellas quejas cuya estimación pudiera conllevar la retroacción de actuaciones (por todas, STC 182/2009, de 7 de septiembre, FJ 3), comenzaremos por la referida a la lesión del derecho a un proceso con todas las garantías (art. 24.2 CE), que, a juicio del demandante, se habría producido como consecuencia de que el recurso de casación formulado no ha supuesto un mecanismo efectivo de revisión de la condena impuesta en los términos exigidos por el art. 14.5 PIDCP, al no haberse realizado por el Tribunal Supremo un nuevo examen crítico del material probatorio aportado.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conviene recordar que este Tribunal Constitucional ha ido conformando un cuerpo de doctrina, fundamentalmente a partir de la STC 70/2002, de 3 de abril, FJ 7, con arreglo a la cual “existe una asimilación funcional entre el recurso de casación y el derecho a la revisión de la declaración de culpabilidad y la pena, declarado en el art. 14.5 PIDCP, siempre que se realice una interpretación amplia de las posibilidades de revisión en sede casacional y que el derecho reconocido en el Pacto se interprete no como el derecho a una segunda instancia con repetición íntegra del juicio, sino como el derecho a que un tribunal superior controle la corrección del juicio realizado en primera instancia, revisando la correcta aplicación de las reglas que han permitido la declaración de culpabilidad y la imposición de la pena en el caso concreto. Reglas entre las que se encuentran, desde luego, todas las que rigen el proceso penal y lo configuran como un proceso justo, con todas las garantías; las que inspiran el principio de presunción de inocencia, y las reglas de la lógica y la experiencia conforme a las cuales han de realizarse las inferencias que permiten considerar un hecho como probado” (en el mismo sentido, SSTC 105/2003, de 2 de junio, FJ 2; 116/2006, de 24 de abril, FJ 5; y 60/2008, de 26 de mayo, FJ 4). Precisando las posibilidades de revisión en sede casacional y, en concreto, la posibilidad de examinar los hechos probados, hemos resaltado que nuestro sistema casacional no se limita al análisis de cuestiones jurídicas y formales, sino que actualmente, a través de la invocación del 24.2 CE (tanto del derecho a un proceso con todas las garantías como, fundamentalmente, del derecho a la presunción de inocencia), es posible que el Tribunal Supremo controle tanto la licitud de la prueba practicada en la que se fundamenta el fallo, como su suficiencia para desvirtuar la presunción de inocencia y la razonabilidad de las inferencias realizadas (STC 116/2006, de 24 de abril, FJ 5). Por tanto, el recurrente “tiene abierta una vía que permite al Tribunal Supremo la ‘revisión íntegra’, entendida en el sentido de posibilidad de acceder no sólo a las cuestiones jurídicas, sino también a las fácticas en que se fundamenta la declaración de culpabilidad, a través del control de la aplicación de las reglas procesales y de la valoración de la prueba” (STC 136/2006,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Sala de lo Penal del Tribunal Supremo, luego de justificar ampliamente en su Sentencia la validez y eficacia de la prueba de ADN practicada (fundamentos jurídicos 2 a 4), pone de relieve que la inferencia realizada por la Audiencia Nacional sobre la participación del acusado no es irrazonable y responde a las reglas de la experiencia, “contrastando el valor incriminatorio de los análisis de ADN con las pruebas testificales de descargo presentadas por las defensas, explicitando de forma racional y lógica por qué no les concede suficiente credibilidad, a la vez que refiere el resto de las pruebas que confirman su convicción” (fundamento jurídico 7), añadiendo que la falta de explicación alternativa de cómo pudieron aparecer aquellas huellas genéticas puede ser valorada por la Sala para reforzar su convicción (mismo fundamento jurídico 7). Posteriormente, el Tribunal de casación, con ocasión de perfilar el carácter de la acción perpetrada, procede a una ponderación de las declaraciones de los funcionarios policiales que sufrieron el atentado y de los testigos que lo presenciaron, concluyendo que la conducta del recurrente se enmarcó en un ataque colectivo dentro de las acciones denominadas “kale borroka”, en el que todos los condenados intervinieron en el acuerdo previo y ostentaron dominio funcional del hecho (fundamento jurídico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Tribunal Supremo ha procedido a una revisión de la sentencia condenatoria en términos constitucionalmente adecuados a las exigencias del art. 24.2 CE, interpretado a la luz del art. 14.5 PIDCP, realizando un análisis detallado de la prueba practicada, para concluir que no se había producido ningún error de valoración y que las inferencias realizadas en la instancia eran conformes a las reglas de la lógica y de la experiencia, no incurriendo en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segunda queja formulada por el recurrente es la referida a la vulneración de su derecho a la intimidad (art. 18.1 CE) como consecuencia de haber procedido la policía autonómica vasca, sin su consentimiento ni autorización judicial, a extraer el ADN de una muestra biológica obtenida de un cigarrillo arrojado por él en el calabozo donde se hallaba detenido por otros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reciente STC 199/2013, de 5 de diciembre, tras recordar la doctrina de este Tribunal en relación con el derecho a la intimidad, con particular atención a las resoluciones dictadas en materia de intervenciones o reconocimientos corporales (SSTC 207/1996, de 16 de diciembre; 196/2004, de 15 de noviembre; 25/2005, de 14 de febrero; y 206/2007, de 24 de septiembre), así como a determinados pronunciamientos del Tribunal Europeo de Derechos Humanos que ponen de manifiesto que el derecho a la vida privada resulta ya comprometido por la mera conservación y almacenamiento de muestras biológicas y perfiles de ADN (STEDH de 4 de diciembre de 2008, caso S. y Marper c. Reino Unido; y decisión de inadmisión de 7 de diciembre de 2006, caso Van der Velden c. Países Bajos), concluimos que el análisis de la muestra biológica del demandante de amparo supone una injerencia en el derecho a la privacidad por los riesgos potenciales que de tal análisis pudieran derivarse (FJ 6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afirmada la existencia de injerencia en la vida privada, el Tribunal Europeo de Derechos Humanos sitúa la cuestión en la justificación de la medida en términos compatibles con el Convenio europeo para la protección de los derechos humanos y de las libertades fundamentales (CEDH). Y así, en la primera de las resoluciones citadas, al abordar el estudio de la existencia de un fin legítimo que justificase la injerencia apreciada, el Tribunal Europeo se ocupa de remarcar oportunamente la diferencia existente entre el supuesto abordado —conservación de muestras biológicas y perfiles de ADN para la identificación de los autores de futuros hechos delictivos— de aquellos otros casos en los cuales “la extracción inicial está destinada a vincular a una persona determinada con un delito concreto que se sospecha que ha cometido” (§ 100). El reproche del Tribunal Europeo de Derechos Humanos se dirige a la conservación indefinida por las autoridades policiales de muestras biológicas y perfiles de ADN de personas no condenadas con la finalidad de identificar a los autores de futuros hechos delictivos, pero no a la identificación de los autores de hechos delictivos a través del contraste del ADN obtenido a partir de muestras biológicas del sospechoso “con vestigios anteriores conservados en la base de datos” (§ 116). La censura se realiza, por tanto, a la conservación de los datos personales, pues el Tribunal Europeo de Derechos Humanos afirma que “se ha de considerar que el mero hecho de que las autoridades públicas conserven o memoricen datos de carácter personal, cualquiera que sea la manera en la que hayan sido obtenidos, tiene unas consecuencias directas en la vida privada de la persona afectada, tanto si se utilizan o no estos datos posteriormente” (§ 119). A su vez, en la decisión de inadmisión anteriormente citada el Tribunal Europeo de Derechos Humanos consideró que la injerencia en el derecho a la vida privada, prevista legalmente, resulta razonable en atención a que se impone a los condenados por delitos de cierta gravedad y que, a la postre, podría incluso beneficiarles al favorecer su exclusión de una eventual lista de sospechosos.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nuestra parte, en las SSTC 70/2002, de 3 de abril (FJ 10); 89/2006, de 27 de marzo (FJ 3); y 207/1996, de 16 de diciembre (FJ 4), señalamos que los requisitos que proporcionan una justificación constitucional objetiva y razonable a la injerencia en el derecho a la intimidad son los siguientes: la existencia de un fin constitucionalmente legítimo; que la medida limitativa del derecho esté prevista en la ley (principio de legalidad); que como regla general se acuerde mediante una resolución judicial motivada (si bien reconociendo que debido a la falta de reserva constitucional a favor del Juez, la ley puede autorizar a la policía judicial la práctica de inspecciones, reconocimientos e incluso de intervenciones corporales leves, siempre y cuando se respeten los principios de proporcionalidad y razonabilidad) y, finalmente, la estricta observancia del principio de proporcionalidad, concretado, a su vez, en las tres siguientes condiciones: “si tal medida es susceptible de conseguir el objetivo propuesto (juicio de idoneidad); si, además, es necesaria, en el sentido de que no exista otra medida más moderada para la consecución de tal propósito con igual eficacia (juicio de necesidad); y, finalmente, si la misma es ponderada o equilibrada, por derivarse de ella más beneficios o ventajas para el interés general que perjuicios sobre otros bienes o valores en conflicto (juicio de proporcionalidad en sentido estricto)” (STC 199/2013, de 5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por la exigencia de que la medida que supone una injerencia en el derecho a la intimidad esté orientada a la consecución de un fin constitucionalmente legítimo, “ya hemos dejado constancia de que el Tribunal Europeo de Derechos Humanos ha considerado legítima la práctica de estos análisis cuando está destinada a vincular a una persona determinada con un delito concreto que se sospecha que ha cometido (STEDH de 4 de diciembre de 2008, caso S. y Marper c. el Reino Unido, § 100)” (STC 199/2013, de 5 de diciembre, FJ 8). En el caso analizado la prueba pericial de obtención del ADN no codificante, que no permite la obtención de otros datos que los meramente identificativos, se produjo con la finalidad de ser comparado con los restos hallados en una prenda utilizada en la realización del hecho delictivo, teniendo como único objeto la averiguación de la persona que había utilizado la mencionada prenda en la perpetración de aquél, de muy intensa gravedad, como son los dos delitos de asesinato terrorista en grado de tentativa y otro de daños, por lo que no cabe duda alguna de la concurrencia de un fin legítimo en la medida adoptada por la policía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cobertura legal de las diligencias periciales practicadas por la policía judicial, hemos de partir, como hace la STC 199/2013, de 5 de diciembre (FJ 9), de que habiendo ocurrido los hechos antes de la reforma llevada a cabo por la Ley Orgánica 15/2003, de 25 de noviembre, aquélla cobertura se encuentra en los arts. 282 y 363 de la Ley de enjuiciamiento criminal y en el art. 11.1 de la Ley Orgánica 2/1986, de 13 de marzo, de fuerzas y cuerpos de seguridad, en cuanto, de una parte, se trata de uno de los informes técnicos y periciales a los que se refiere el apartado g); de otra, su práctica se acomoda con naturalidad a la finalidad para la que las atribuciones policiales son conferidas por el legislador, esto es, para la averiguación de los delitos y la puesta a disposición judicial de sus presuntos autores; y, finalmente, porque la menor intensidad de la injerencia en el derecho fundamental, a la que luego nos referiremos, admite una relativa relajación de las exigencias de taxatividad en la norma que presta cobertura a aquella exigida por el Convenio europeo de derechos humanos. Así lo hemos afirmado, con cita de la STEDH en el caso Sociedad Plon c. Francia, de 18 de mayo de 2004, en nuestra STC 34/2010, de 19 de julio, con respecto a la menor injerencia que supone el carácter temporal de las medidas cautelares limitativas de un derecho fundamental (en el caso, los reconocidos en el art. 20.1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necesidad de autorización judicial, concluimos en la repetida STC 199/2013, de 5 de diciembre, que aun cuando el análisis de ADN efectuado no fuera ordenado judicialmente, no se lesionó el derecho del demandante a la intimidad personal, por las siguientes razones, expresadas en su fundamento jurídico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 la escasa, cuando no nula, incidencia material en la intimidad personal del demandante, que habría consistido en el riesgo de que el análisis de ADN fuese más allá de la mera identificación neutra, dada la naturaleza meramente identificativa del perfil genético obtenido a partir de los sectores no codificantes del ADN. En ningún momento de la demanda se explicita información alguna que haya sido revelada a través del análisis identificativo practicado que haya comprometido o pudiera comprometer la intimidad del demandante. Se pone así en evidencia que la lesión contra la que se pretende reaccionar derivaría de la conservación y utilización futura de perfiles del ADN obtenido a partir de la muestra tomada, pero no de la comparación neutral y exclusivamente identificativa del perfil de ADN del demandante con el extraído de los vestigios del delito investigado. De este modo, aun cuando cabe admitir que el peligro de futuros usos desviados del perfil de ADN del demandante podría eventualmente constituir una injerencia en la intimidad personal por el mero riesgo, huelga ahora realizar toda consideración al respecto en el seno de un proceso de amparo como éste en la medida en que no es el supuesto concretamente analizado. Tal es también el presupuesto del que parte la reciente Sentencia del Tribunal Supremo de los Estados Unidos en el caso Maryland v. King, de 3 de junio de 2013 (identificación del autor de un delito de violación a partir del análisis del ADN de quien fue detenido como sospechoso de otro delito grave posterior) al afirmar taxativamente que los marcadores utilizados para la identificación del ADN “están situados en partes no codificantes del ADN que no revelan las características genéticas del detenido. Si bien la ciencia siempre puede avanzar y esos progresos pueden llegar a tener trascendencia desde la perspectiva de la cuarta enmienda, los alelos en los marcadores CODIS no suministran actualmente otra información que la relativa a la identidad del sujeto.” En definitiva, la limitada incidencia que el análisis de ADN que se pretendía realizar y efectivamente se llevó a cabo tuvo en el derecho a la intimidad del demandante tolera en el caso concretamente analizado la omisión de la autorización judicial en un ámbito en el que, como hemos ya advertido, no constituye una exigencia constitucional 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porque la actuación pericial, al ceñirse a las regiones de ADN no codificante, se ajustó a los estándares proporcionados por la normativa nacional e internacional reguladora del uso forense del ADN, con lo que se asegura que no se va más allá de la identificación neutral del sujeto. Tal normativa estaba constituida a la sazón por la Resolución del Consejo, de 25 de junio de 2001, relativa al intercambio de resultados de análisis de ADN (2001/C 187/01) —actualizada luego por la Resolución del Consejo de 30 de noviembre de 2009—, por la cual se insta a los Estados miembros a que limiten los resultados de análisis de ADN a las zonas cromosómicas que no contengan ningún factor de expresión de información genética, es decir, a las zonas cromosómicas que no contengan información sobre características hereditarias específicas. En el correspondiente anexo se especifican y enumeran los marcadores de ADN respecto de los que no se tiene constancia de que contengan información sobre características hereditarias específicas, recomendando a los Estados miembros que estén vigilantes a los avances científicos y preparados para borrar los resultados de análisis de ADN si dichos resultados contienen información sobre características hereditarias específicas. En el ámbito internacional, el Tratado entre el Reino de Bélgica, la República Federal de Alemania, el Reino de España, la República Francesa, el Gran Ducado de Luxemburgo, el Reino de los Países Bajos y la República de Austria relativo a la profundización de la cooperación transfronteriza, en particular en materia de lucha contra el terrorismo, la delincuencia transfronteriza y la migración ilegal, hecho en Prüm el 27 de mayo de 2005 (“BOE” núm. 307, de 25 de diciembre de 2006), obliga a los Estados parte a servirse “exclusivamente de perfiles de ADN obtenidos a partir de la parte no codificante del ADN”.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porque, aun cuando el análisis jurídico de las cuestiones suscitadas exige un estudio individualizado de las distintas fases de la actuación policial controvertida, no puede desconocerse que las circunstancias concretas del caso, consideradas en su globalidad, requerían una actuación urgente. Así, la eventual eficacia probatoria de los restos biológicos contenidos en el cigarrillo requería su rápida recogida, su urgente remisión a los laboratorios adecuados para su conservación y su pronto análisis, evitando todo riesgo de degradación de la muestra, contribuyendo a asegurar la cadena de custodia y minorando las posibilidades de contaminación de la muestra mediante el tratamiento de la misma siguiendo los protocolos ordinarios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porque el conjunto normativo entonces vigente, a diferencia de lo que ocurre con otros derechos fundamentales respecto de los que la Constitución y la Ley de enjuiciamiento criminal sí exigen resolución judicial que autorice las injerencias en los mismos (arts. 18.2 y 3, y 20.5 CE), no prevé expresamente la intervención judicial con carácter 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porque la merma del control judicial que podría haberse derivado de la falta de autorización judicial se vio desvanecida por la aportación al proceso del resultado del análisis comparativo realizado tan pronto como estuvo disponible, momento a partir del cual la autoridad judicial se encontraba en disposición de realizar por sí el juicio de ponderación sobre la diligencia pericial efectuada, así como de acordar la práctica de un nuevo análisis o de completar el ya realizado, bien por propia iniciativa o bien a solicitud de la representación procesal del demandante de amparo. A diferencia de lo que acontece con pruebas irrepetibles, como las intervenciones telefónicas, el carácter pericial de la diligencia practicada y la disponibilidad de las muestras a analizar hacen que la pericia pueda no sólo ser sometida a debate en cuanto a sus conclusiones, sino que incluso pudiera ser reiterada con autorización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el respeto al principio de proporcionalidad de la medida enjuiciada exige, tal como ya hemos avanzado, constatar que la medida adoptada sea susceptible de conseguir el objetivo propuesto (juicio de idoneidad); necesaria, en el sentido de que no exista otra medida más moderada para la consecución de tal propósito con igual eficacia (juicio de necesidad); y, finalmente, que sea ponderada o equilibrada, por derivarse de ella más beneficios o ventajas para el interés general que perjuicios sobre otros bienes o valores en conflicto (juicio de proporcionalidad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expuesta conduce a afirmar el respeto al principio de proporcionalidad en la realización del análisis de ADN del demandante de amparo toda vez que: i) su comparación con el obtenido a partir del resto biológico hallado resultaba un medio adecuado para revelar la identidad de este último (idoneidad); ii) no existía un medio alternativo para comprobar si el demandante había participado o no en los hechos delictivos enjuiciados (necesidad) y, finalmente, iii) el modo en el que el análisis del ADN se practicó fue el menos invasivo de la intimidad personal en cuanto sólo afectó a las regiones no codificantes del ADN, esto es, a aquellas que tan sólo proporcionan datos identificativos mediante un análisis comparativo con el ADN obtenido a partir de otra muestra, excluyéndose por ello la revelación o puesta de manifiesto de toda característica personal que afectase a la intimidad personal. Es decir, la injerencia en el derecho fundamental consistió en el riesgo de comprometer la intimidad personal del demandante de amparo, riesgo que no llegó a materializarse (STC 199/2013, de 5 de diciembre,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estrecha relación con la queja que acabamos de examinar, se alega por el demandante la infracción del derecho de “autodeterminación informativa” previsto en el art. 18.4 CE, a causa de que la Ertzaintza habría procedido a incluir en una base de datos informatizada el resultado del análisis de las muestras genéticas, sin ningún tipo de control administrativo ni de otro orden, y sin que se conozca quiénes tienen acceso a tales datos ni quiénes son sus responsables, así como tampoco si esos datos personales van a ser utilizados para otros fines, durante cuánto tiempo se conservarán y si podrán ser utilizados en futuros procedimientos penales. A su juicio, la policía autonómica actuó al margen de la normativa vigente, por lo que estaríamos ante un ataque a la intimidad, al no darse las garantías suficientes y adecuadas en el tratamiento de estos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ya repetida STC 199/2013, de 5 de diciembre (FJ 12), tras recordar la doctrina contenida en la STC 292/2000, de 30 de noviembre, en relación con el derecho a la protección de datos, hemos afirmado que no cabe duda acerca de que el perfil de ADN obtenido a partir de una muestra biológica identifica a la persona, pero que no puede decirse que en el indicado perfil genético (el obtenido con efecto identificativo neutral) se incorporen otro tipo de datos que puedan contribuir a configurar un perfil o caracterización de la persona en sus aspectos “ideológico, racial, sexual, económico o de cualquier otra índole, o que sirvan para cualquier otra utilidad que en determinadas circunstancias constituya una amenaza para el individuo” (STC 292/2000, de 30 de noviembre, FJ 6), que es el ámbito de protección dispensada por el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ha de resaltarse que la identificación del demandante de amparo no se produjo como consecuencia de la incorporación de su perfil genético identificativo a una base de datos de personas sospechosas, sino que derivó de su comparación con los perfiles de ADN correspondientes a personas desconocidas que habían sido obtenidos a partir de muestras biológicas halladas en vestigios de otros hechos delictivos. De modo que de haberse producido la incorporación de sus datos se trataría de una actuación sin incidencia en el acto del poder público frente al que se demanda en amparo. Por lo demás nada impediría al demandante reaccionar contra esta pretendida e hipotética conservación de su perfil de ADN solicitando la eliminación del perfil de la base de datos a la que afirma que se incorporaron, lo que no consta haberse efectuado, de suerte que la lesión denunciada no sólo se construye sobre hechos no acreditados cumplidamente sino que tampoco se habrían agotado los remedios disponibles para lograr su reparación, primero ante la Administración y luego, en su caso, ante la jurisdicción ordinaria, en términos semejantes a los acontecidos en caso resuelto en la STEDH de 4 de diciembre de 2008, caso S. y Marper c. el Reino Unido.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ya hemos señalado que la obtención de los caracteres identificativos del demandante a partir del análisis de los sectores no codificantes de su ADN se produjo para una finalidad constitucionalmente legítima, como es la investigación de graves delitos relacionados con actividad de violencia callejera. Pues bien, “el derecho a la protección de datos no es ilimitado, y aunque la Constitución no le imponga expresamente límites específicos, ni remita a los poderes públicos para su determinación como ha hecho con otros derechos fundamentales, no cabe duda de que han de encontrarlos en los restantes derechos fundamentales y bienes jurídicos constitucionalmente protegidos, pues así lo exige el principio de unidad de la Constitución” (STC 292/2000, de 30 de noviembre, FJ 11, con remisión a las SSTC 11/1981, de 8 de abril, FJ 7; 196/1987, de 11 de diciembre, FJ 6; y respecto del art. 18, a la STC 110/1984, de 26 de noviembre, FJ 5). Pero es que tampoco consta que el perfil haya sido utilizado para una finalidad distinta de aquella para la que se obtuvo, ni que haya sido objeto de cesión o tratamiento distinto de aquél para el que se obtuvo.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Rechazada, por las razones ya expuestas, la queja referida a la infracción del derecho a la presunción de inocencia (art. 24.2 CE) que la demanda sustenta en que los órganos judiciales hubiesen apreciado como prueba de cargo el análisis de ADN realizado sin autorización judicial, debemos descartar también que el mencionado derecho a la presunción de inocencia haya resultado infringido por falta de intervención judicial en el momento de la toma de los restos biológicos contenidos en el cigarrillo (por las razones expuestas en relación con la innecesariedad de la autorización judicial para la realización del análisis) o por falta de preservación de la denominada cadena de custodia de la muestra biológica obtenida, esto es, el aseguramiento de que la muestra recogida fue la misma que sirvió para el análisis comparativo posteriormente efectuado con el perfil de ADN obtenido a partir de la prenda recogida en el lugar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forma a como hemos apreciado en la STC 199/2013, de 5 de diciembre [FJ 4 c)], debemos ahora consignar que la cuestión fue abordada en la Sentencia de la Audiencia Nacional que condenó al recurrente, alcanzando la conclusión de que no existía duda acerca de la identidad de la muestra analizada, en consideración al contenido de las declaraciones efectuadas en el juicio oral por los policías que la recogieron, quienes dieron explicaciones sobre los protocolos y métodos de obtención, de las clases de análisis que se efectuaron, de su conservación, y de cómo adoptaron las medidas oportunas para evitar la contaminación de los objetos que contenían las muestras biológicas, ratificándose en las actuaciones que constaban en autos y sometiéndose tanto a las preguntas de la acusación como de la defensa. Se trata, por tanto, de una cuestión de hecho que no puede ser objeto de pronunciamiento por parte de este Tribunal [art. 44.1 b) de la Ley Orgánica del Tribunal Constitucional] más que respecto a la regularidad y suficiencia de los medios de prueba que condujeron a dar por acreditado el hecho. En todo caso, el dato al que se refiere la prueba no es estrictamente el hecho delictivo, sino un aspecto parcial de uno de los medios de prueba, siendo doctrina asentada del Tribunal (STC 126/2011, de 18 de julio, FJ 22, entre otras) que “el derecho fundamental a la presunción de inocencia no puede ser invocado con éxito para cubrir cada episodio, vicisitud, hecho o elemento debatido en el proceso penal, o parcialmente integrante de la resolución final que le ponga término. Los límites de nuestro control no permiten desmenuzar o dilucidar cada elemento probatorio, sino que debe realizarse un examen general y contextualizado de la valoración probatoria para puntualizar en cada caso si ese derecho fue o no respetado, concretamente en la decisión judicial condenatoria, pero tomando en cuenta el conjunto de la actividad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también en relación con el derecho a la presunción de inocencia (art. 24.2 CE), aduce el demandante que, con independencia de su queja sobre la ilicitud de la prueba de ADN, no existe prueba de cargo suficiente para la condena, pues, a su juicio, concurren otros elementos probatorios, como las declaraciones prestadas en el juicio oral por algunos testigos, que conducirían a una conclusión contraria a la alcanzada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queja debemos partir de que, como recuerda la STC 70/2010, de 18 de octubre, el derecho a la presunción de inocencia se configura como el derecho a no ser condenado sin pruebas de cargo válidas, lo que exige una mínima actividad probatoria, realizada con las garantías necesarias, referida a todos los elementos esenciales del delito, y que de la misma quepa inferir razonablemente los hechos y la participación del acusado en los mismos. De este modo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por ilógico o por insuficiente no sea razonable el iter discursivo que conduce de la prueba al hecho probado”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de las dos vertientes en que se desdobla en la demanda el motivo de amparo basado en la vulneración del derecho a la presunción de inocencia (art. 24.2 CE), ya hemos rechazado, con lo afirmado en los fundamentos jurídicos precedentes, la primera de ellas, referida a la utilización de prueba ilícita. Tal como hemos expuesto, el análisis de muestras biológicas del demandante ha sido practicado respetando las exigencias constitucionales y sin lesión de los derechos a la intimidad (art. 18.1 CE) y a la autodeterminación informativa (art. 18.4 CE), por lo que su utilización como prueba no constituye lesión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 la segunda vertiente de la queja, referida a irrazonabilidad de la inferencia a partir de la cual los órganos judiciales concluyen la culpabilidad del recurrente, es preciso traer a colación, brevemente, la doctrina de este Tribunal según la cual, a falta de prueba directa de cargo, también la prueba indiciaria puede sustentar un pronunciamiento condenatorio sin menoscabo del derecho a la presunción de inocencia, siempre que: los hechos bases o indicios estén plenamente probados; los hechos constitutivos del delito se deduzcan precisamente de estos hechos bases completamente probados; se pueda controlar la razonabilidad de la inferencia, para lo que es preciso, en primer lugar, que el órgano judicial exteriorice los hechos que están acreditados, o indicios, y, sobre todo que explique el razonamiento o engarce lógico entre los hechos base y los hechos consecuencia; y, finalmente, que este razonamiento esté asentado en las reglas del criterio humano o de la experiencia común (SSTC 300/2005, de 21 de noviembre, FJ 3; 111/2008, de 22 de septiembre, FJ 3; y 70/2010, de 18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partiendo de “la radical falta de competencia de esta jurisdicción de amparo para la valoración de la actividad probatoria practicada en un proceso penal y para la evaluación de dicha valoración conforme a criterios de calidad o de oportunidad” (SSTC 137/2005, de 23 de mayo, FJ 2, y 111/2008, de 22 de septiembre, FJ 3), sólo cabe considerar vulnerado el derecho a la presunción de inocencia en este ámbito de enjuiciamiento cuando “la inferencia sea ilógica o tan abierta que en su seno quepa tal pluralidad de conclusiones alternativas que ninguna de ellas pueda darse por probada” (SSTC 229/2003, de 18 de diciembre, FJ 4; 111/2008, de 22 de septiembre, FJ 3; 109/2009, de 11 de mayo, FJ 3; y 70/2010, de 18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doctrina constitucional expuesta, podemos anticipar ya la desestimación del presente motivo de amparo, que ofrece semejanza con el resuelto en la STC 135/2003, de 30 de junio, en la que apreciamos que la existencia de un indicio plenamente acreditado (la presencia de huellas dactilares en el lugar de la acción delictiva) unido a la futilidad del relato alternativo ofrecido por el recurrente, permitía inferir, conforme a las reglas de la lógica, su participación en los hechos, descartando que la conclusión del Tribunal sentenciador fuera excesivamente abierta o indeterminada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acontece también en el presente caso, en el que para estimar acreditada la participación en los hechos del demandante, los órganos judiciales tomaron en consideración la aparición de su huella genética en el lugar de los hechos, debiéndose considerar que la prueba de ADN es prueba directa, y no mero indicio, de que se produjo contacto directo del recurrente con la prenda hallada en la escena delictiva, a partir de lo cual y ante la mera negativa del demandante acerca de su presencia en el lugar cuando ocurrió la acción delictiva, la inferencia de los órganos judiciales de la participación del recurrente en el atentado terrorista se presenta como una conclusión plenamente ajustada a las reglas de la lógica y de la experiencia. Precisamente, en relación con este último elemento hemos afirmado en ocasiones precedentes que si bien la inexistencia o la inconsistencia del relato alternativo no puede sustituir la ausencia de prueba de cargo, so pena de asumir el riesgo de invertir la carga de la prueba, sí puede servir como contraindicio o como elemento de corroboración de los indicios a partir de los cuales se infiere la culpabilidad (por todas, SSTC 142/2009, de 15 de junio, FJ 6; y 128/2011, de 18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Ningún otro juicio compete a este Tribunal, pues conviene recordar, de un lado, que nuestra jurisdicción se ciñe a efectuar un control externo, de modo que “el juicio de amparo constitucional versa acerca de la razonabilidad del nexo establecido por la jurisdicción ordinaria, sin que podamos entrar a examinar otras posibles inferencias propuestas por quien solicita el amparo” (STC 220/1998, de 16 de noviembre, FJ 3) y, de otro, que “entre diversas alternativas igualmente lógicas, nuestro control no puede alcanzar la sustitución de la valoración efectuada por los órganos judiciales, ni siquiera afirmar que fuera significativamente más probable un acaecimiento alternativo de los hechos” (STC 124/2001, de 4 de junio, FJ 13).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Zigor Blanco Santiesteban.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amparo núm. 10616-2006 avocado al Pleno, al que se adhiere el Magistrado don Luis Ignacio Ortega Álvarez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el fallo y la fundamentación jurídica de la Sentencia dictada en el presente recurso de amparo remitiéndome a lo ya manifestado en el Voto particular que formulé a la STC 199/2013, de 5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de enero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Andrés Ollero Tassara respecto a la Sentencia del Pleno de fecha 30 de enero de 2014 dictada en el recurso de amparo avocado núm. 10616-2006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la Ley Orgánica del Tribunal Constitucional y con el máximo respeto a la opinión de la mayoría dejo constancia de mi opinión discrepante, puesta ya de manifiesto durante la deliberación de la Sentencia, tanto respecto de la fundamentación jurídica como del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los hechos enjuiciados en la Sentencia recurrida en amparo merecen el más drástico reproche y generaron sin duda notable alarma social, con las obligadas consecuencias en el plano de la legalidad penal, lamento constatar que desde el plano constitucional se aprecian circunstancias similares a las que me llevaron a formular Voto particular en relación a la reciente Sentencia 199/2013, de 5 diciembre, lo que me obliga a aplicar en el presente caso argumentación idéntica a la entonces expuesta, a la que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de enero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