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6001-2012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6001-2012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la representación procesal de don Ignacio Vellilla Fernández en el recurso de amparo 6001-2012.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24 de octubre de 2012, en el Registro General de este Tribunal por el Procurador don Guillermo García-San Miguel Hoover en representación de don Ignacio Velilla Fernández se interpuso recurso de amparo, registrado con el núm. 6001-2012, contra la Sentencia de 30 de enero de 2012 de la Sección Séptima de la Sala Tercera del Tribunal Supremo que desestimó los recursos de casación interpuestos por la Fundación Tripartita para la Formación en el Empleo y por don Antonio Ribero Jubete y estimó el recurso de casación interpuesto por el Ministerio Fiscal y dictó nueva Sentencia estimando en parte el recurso de apelación contra Sentencia dictada el 12 de abril de 2007 por el Excmo. Sr. Consejero del Departamento Segundo de la Sección de Enjuiciamiento del Tribunal de Cuentas en el procedimiento de reintegro por alcance número B-100/03 del ramo de Administración del Estado (FORCEM) provincia de Madrid, la cual anuló dictando nueva Sentencia en la que entre otros extremos declaró responsable contable directo y solidario a don Ignacio Velilla Fernández, respecto de la cantidad de 2.124.213,17 € y de la cantidad de 30.117,92 € más los intereses legales correspondientes, y frente al Auto de 26 de junio de 2012, de la misma Sala y Sección del Tribunal Supremo, que desestimó el incidente de nulidad de actuaciones planteado frente a la Sentencia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la Secretaria de Justicia de la Sección Cuarta, Sala Segunda, de este Tribunal Constitucional de 27 de junio de 2013, y de conformidad con lo dispuesto en el artículo 49.4 de la Ley Orgánica del Tribunal (LOTC) se concedió al recurrente un plazo de diez días para que “[a]porte copia sellada del escrito por el que se interpuso el incidente de nulidad de actuaciones contra la Sentencia de 30 de enero de dos mil doce dictada por la Sección 7ª de la Sala de lo Contencioso-administrativo del Tribunal Supremo el 30 de enero de dos mil doce en el Rº de Casación 6275/09.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Aporte copias de todos los documentos presentados con el escrito inicial de 23 de octubre de dos mil doce, a tenor de lo dispuesto en el artículo 49.3 LOTC, al haberse aportado únicamente copia del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la advertencia que de no atender al precedente requerimiento de este Tribunal, en el plazo indicado, la Sección podrá inadmitir el presente recurso, conforme a lo preceptuado en el art. 50.4 de la citada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requerimiento fue notificado a la representación procesal del recurrente en amparo el 3 de julio siguiente tal y como consta en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“Boletín Oficial del Estado” de 27 de junio de 2013, se publicó el acuerdo del Pleno de este Tribunal del día 26 anterior, por el que se hacía público para general conocimiento la nueva composición de las Salas Primera y Segunda del Tribunal Constitucional y, de las Secciones Primera a Cuarta, respectivamente, de sus dos Salas, como consecuencia de la undécima renovación del Tribunal Constitucional. En ese acuerdo se hacía saber que el Magistrado Sr. Valdés Dal-Ré formaba parte de la Sección Cuarta, a la que había correspondido conocer del recurso de amparo núm. 6001-2012 presentado por la representación procesal del recurrente don Ignacio Velilla Fernández.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11 de diciembre de dos mil trece, la Sala Segunda del Tribunal dictó Auto en el que tuvo por abstenido al Magistrado don Juan José González Rivas que formó parte de la Sección Séptima de la Sala III del Tribunal Supremo que pronunció la Sentencia y el Auto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16 de diciembre de 2013 el Procurador Sr. García-San Miguel Hoover presentó en el Registro General de este Tribunal un escrito que suscribían tanto el mencionado profesional como el Letrado que lo redactaba y el recurrente en amparo, escrito en el que se afirmaba por los firmantes haber tenido conocimiento del deceso “del Magistrado Sr. Hernando Santiago y en consecuencia interesan que se les dé a conocer quiénes integrarán los órganos que vayan a enjuiciar el recurso de amparo núm. 6001-2012” y en el que también expresaban que “en todo caso el Magistrado Sr. Valdés Dal-Ré se encuentra manifiestamente incurso en causa de abstención, con arreglo al art. 219, 6, 9, 10 y 13 Ley Orgánica del Poder Judicial (LOPJ), por lo que deberá procederse en consecuencia y de conformidad con lo dispuesto en el art. 221 y ss. LOPJ”. Ese escrito concluía solicitando que se tuvieran por hechas las manifestaciones en él contenidas y solicitando la recusación del Magistrado Sr. Valdés Dal-Ré para el caso de que no se abstuviera.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Tres días después, el 19 de diciembre de 2013, las mismas personas presentaron otro escrito en el Registro General de este Tribunal formulando idéntica petición, y acompañando a la misma determinados documentos que, a su juicio, avalaban la pretensión ejercitada, para, seguidamente, el día 30 de diciembre de 2013 presentar un tercer escrito en el que manteniendo idéntica pretensión recordaban a este Tribunal su doctrina sobre la recusación de sus Magistrados, con expresa cita de párrafos sobre esa cuestión extraídos de Sentencias del Tribunal como la 230/1992, de 14 de diciembre, FJ 6; 210/2001, de 29 de octubre, FJ 2; y 164/2008, de 15 de diciembre, FFJJ 4 y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oficio de 8 de enero de 2014 por la Presidenta de la Sala Segunda del Tribunal se remitieron los escritos antes reseñados en que se solicitaba la recusación del Magistrado Sr. Valdés Dal-Ré integrante de la Sección Cuarta del Tribunal, al Excmo. Sr. Presidente del Tribunal, formándose pieza separada del recurso de amparo núm. 6001-2012, para resolución por el Pleno del Tribunal conforme a lo dispuesto en el art. 10.1 k)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expresa el artículo 80.1 de la Ley Orgánica 2/1979, de 3 de octubre, (LOTC) para el supuesto de recusación de los Magistrados del Tribunal Constitucional se aplicará con carácter supletorio de la misma los preceptos de la Ley Orgánica del Poder Judicial (LOPJ). En consecuencia deberán aplicarse supletoriamente cuando se produzca la recusación de un Magistrado del Tribunal Constitucional los arts. 217 y ss. LOPJ, que regulan la recusación de los Jueces y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Dispone el artículo 223.2 de la Ley Orgánica citada que el escrito en que se propusiere la recusación deberá estar firmado por “el Abogado y Procurador si intervinieren y por el recusante”, tal y como ha ocurrido en este supuesto, y, añade el precepto, que “en todo caso el Procurador deberá acompañar poder especial para la recusación de que se trate”. En este caso los sucesivos escritos en que se propone la recusación tal y como se hizo constar en los antecedentes de este Auto, aparecen firmados por Procurador y Abogado así como por el recusante, de modo que cumplirían con la primera de las exigencias del artículo 223.2 citado, pero, por el contrario, en el ejercicio de la recusación no se ha cumplido con la inexcusable exigencia procesal de acompañar poder especial para ejercer la acción de recusar. La omisión de esa carga procesal obligaría al Tribunal a requerir a la representación procesal del recurrente el otorgamiento de poder especial solicitado por la Ley. Consciente de esta omisión de la parte, el Tribunal no considera necesario exigir a la misma el cumplimiento de ese deber procesal en tanto que, como veremos más adelante y por las razones que expondremos, la recusación será inadmitida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artículo 223 de la Ley Orgánica del Poder Judicial ahora en su número 1, dispone que “la recusación deberá proponerse tan pronto como se tenga conocimiento de la causa en que se funde, pues, en otro caso, no se admitirá a trámite”. Y añade el precepto que “Concretamente, se inadmitirán las recusaciones: 1º “Cuando no se propongan en el plazo de diez días desde la notificación de la primera resolución por la que se conozca la identidad del Juez o Magistrado a recusar, si el conocimiento de la concurrencia de la causa de recusación fuese anterior a aquel”.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[AATC 180/2013, de 17 de septiembre, FJ 2 f) y 256/2013, de 6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tomando en consideración que este Tribunal ya ha reiterado que en los procesos constitucionales procede el rechazo liminar de una recusación por el incumplimiento de sus requisitos formales (por todos, AATC 383/2006, de 2 de noviembre, FJ 2; y 109/2009, de 1 de marzo, FJ único), debe inadmitirse a trámite la presente recusación por la extemporaneidad de su presentación, ya que la misma se planteó en el inicial escrito de 16 de diciembre pasado y, por tanto, trascurrido en exceso el plazo de diez días a que se refiere el art. 223.1 LOPJ, desde el momento en que el recusante tuvo conocimiento efectivo de que el Magistrado recusado formaba parte de la Sección de este Tribunal que debía decidir sobre la admisión del recurso de amparo núm. 6001-2012.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la representación procesal del demandante en el recurso de amparo núm. 6001-2012, le fue notificada el 3 de julio de 2013 la diligencia de ordenación de 27 de junio anterior, dictada por la Secretaria de Justicia de la Sección Cuarta de este Tribunal, en la que se le requería, conforme a lo previsto en el art. 49.4 LOTC, para subsanar determinados defectos advertidos en la demanda de amparo. El requerimiento fue cumplimentado mediante escrito registrado en este Tribunal el 11 de julio de 2013. A dicha fecha se había producido ya la undécima renovación del Tribunal Constitucional, publicándose en el “Boletín Oficial del Estado” de 27 de junio de 2013 el acuerdo de 26 de junio de 2013, del Pleno del Tribunal Constitucional, por el que se dispuso la composición de las Salas y Secciones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ese momento el demandante de amparo —posteriormente recusante— tenía perfecto conocimiento de que el Magistrado recusado formaba parte de la Sección a la que había correspondido resolver sobre la admisión de su recurso de amparo, al estar así establecido en el art. 2.3 del referido acuerdo del Pleno del Tribunal Constitucional, publicado en el “Boletín Oficial del Estado” de 27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Carece, pues, de fundamento alguno lo afirmado por el recusante en cuanto a que no tuvo conocimiento de la identidad de los Magistrados componentes de la Sección Cuarta del Tribunal cuando en el escrito que presenta en el Registro General del Tribunal planteando la recusación del Magistrado Sr. Valdés Dal-Ré pretende que se le haga saber quiénes componen la Sección, utilizando como pretexto para ello el conocimiento de la noticia ampliamente difundida por los medios de comunicación del fallecimiento del Magistrado Sr. Hernando Santiago producido en 29 de noviembre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habiendo transcurrido varios meses desde la fecha 27 de junio de 2013 en que el recusante pudo conocer la identidad de los Magistrados componentes de la Sección Cuarta que habían de resolver sobre la admisión a trámite del recurso de amparo núm. 6001-2012 hasta que promovió el incidente de recusación 16 de diciembre 2013, frente al Magistrado Sr. Valdés Dal-Ré, resulta evidente y manifiesta la extemporaneidad de tal recusación, que debe ser por ello rechazada a limine de acuerdo con lo dispuesto en el art. 223.1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que la decisión del Tribunal sea la inadmisión de la recusación en los términos expuestos, es voluntad del Pleno manifestar que la misma carece de fundamento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recordaremos nuestra consolidada doctrina sobre esta cuestión expresada, en el reciente Auto 180/2013, de 17 de septiembre. En su fundamento jurídico 2 sobre la garantía y el deber de imparcialidad de los Magistrados constitucionales declaramos: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constituye incluso la primera de ellas (SSTC 60/1995, de 16 de marzo, FJ 3; 162/1999, de 27 de septiembre, FJ 5; y ATC 51/2011, de 5 de mayo, FJ 2). La jurisprudencia de este Tribunal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del carácter jurisdiccional que siempre reviste la actuación del Tribunal Constitucional y del mandato de que sus Magistrados ejerzan su función de acuerdo con el principio de imparcialidad (art. 22 LOTC), hemos declarado que el régimen de recusaciones y abstenciones de los Jueces y Magistrados del Poder Judicial es aplicable ex art. 80 LOTC a los Magistrados del Tribunal Constitucional (ATC 26/2007, de 5 de febrero, FJ 2). La enumeración establecida actualmente en el art. 219 LOPJ es taxativa y de carácter cerrado. Cualquiera que sea la quiebra de imparcialidad que se alegue en relación con un Magistrado de este Tribunal ha de ser reconducida a una de las mencionadas causas legales (entre otros, AATC 226/2002, de 20 de noviembre, FJ 1; y 18/2006, de 24 de enero, FJ 2). Fuera del ámbito de tales causas legales, las aprensiones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26/2007, de 5 de febrero, FJ 3; así como SSTEDH de 28 de octubre de 1998, caso Castillo Algar c. España, § 45; y de 17 de junio de 2003, caso Pescador Valero c. España, § 23].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(STC 162/1999, de 27 de septiembre, FJ 8). Esta interpretación restrictiva tiene especial fundamento respecto de un órgano, como es el Tribunal Constitucional, cuyos miembros no pueden ser objeto de sustitución (AATC 80/2005, de 17 de febrero; y 383/2006, de 2 de noviembre, FJ 3). En efecto, en los procesos seguidos en los tribunales ordinarios, la consecuencia de estimar una recusación es la sustitución del afectado (art. 228.2 en relación con los arts. 207 a 214 LOPJ), con lo que se reequilibra la composición del órgano. Por el contrario, cuando el Tribunal Constitucional actúa examinando en Pleno la constitucionalidad de una ley o norma con rango de ley, la aceptación de una recusación no conlleva posibilidad alguna de sustitución del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Partiendo de esas ideas nos referimos ahora al modo concreto en que se ha producido la presente recusación y la respuesta que corresponde a la misma. En el escrito de 16 de diciembre pasado se afirma que el Magistrado al que se recusa incurría en las causas previstas en los números 6, 9, 10 y 13 del artículo 219 de la Ley Orgánica del Poder Judicial supletoriamente aplicables a los Magistrados de este Tribunal Constitucional. Y para ello se afirma que el recusado “fue contratado como asesor jurídico externo para prestar servicios profesionales por la Fundación para la Formación continua (FORCEM), hoy Fundación Tripartita para la Formación en el Empleo, recurrente también en amparo contra las mismas resoluciones impugnadas” y que “dichos servicios los prestó en el tiempo en que acontecieron los hechos objeto de dichas resoluciones, y percibió por ellos elevados honorarios.” En ese mismo escrito manifiesta que esos hechos fueron “objeto de prueba durante el curso del procedimiento del que trae causa este recurso y así consta en los autos de aquél” y añade que todo eso es conocido por el recusado y que fueron servicios que “tuvieron relevancia y fueron conducentes a la fijación de la posición del entonces Ministerio de Trabajo sobre las cuestiones acerca de las que dictaminó el referido Magistrado”. Aduce en el escrito el recusante “que es perfecto conocedor de esta circunstancia … como responsable de los servicios jurídicos internos de FORCEM … y, además, en tal condición, negoció personalmente con el Magistrado las cuestiones que deberían ser objeto de dictamen y los honorarios que debía éste último percibir y que, efectivamente, percibió”. Agrega a lo expuesto que el recusado “ha tenido, además, una relación estrecha y duradera con el sindicato UGT, lo que es un hecho público y notorio; que el sindicato UGT es uno de los Patronos de la recurrente Fundación Tripartita para la Formación en el Empleo antes FORCEM”. Y concluye ese escrito haciendo referencia a una posible afiliación del recusado al sindicato UGT y a una estrecha amistad con muchos de los cargos directivos del mismo que expresamente cita y que a su vez eran patronos de la Fundación cuyo patronato oía regularmente al ahora recusado, circunstancia “en la que propuso al Patronato referido la contratación de servicios jurídicos que prestó el Magistrado Sr. Valdés Dal-Ré, entre otros, los que han quedado expresados más arriba”.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posterior escrito presentado en el Tribunal el día 19 de diciembre, la representación procesal del recurrente en amparo, junto con él y el Letrado firmante, acompañan un documento que según afirman forma parte del expediente del proceso en el que recayó la Sentencia y el Auto del Tribunal Supremo, resoluciones frente a las que se plantea el recurso de amparo, y en el que consta que a don Fernando Valdés Dal-Ré se le encargaron en el ámbito de lo que en el documento se denomina asesoramiento laboral (parcial) la elaboración de tres dictámenes titulados sucesivamente como “Comisiones constituidas al amparo del ANFC”, “Sobre la regularidad jurídica del Acuerdo Interprofesional sobre F.C. en la Comunidad Vasca,” “Sobre los problemas de la aplicación del II A.N.F.C. en la Comunidad Autónoma del País Vasco” y un “Asesoramiento en la extinción de los contratos de trabajo del personal y elaboración de dictamen sobre modalidades de contratación para la gestión del II ANFC,” cuyos números de expediente constan consignados en el margen izquierdo del documento y donde, también, sucesivamente, constan el importe del encargo, la fecha y número de la factura y finalmente la fecha de pago que fue en cada uno de ellos y, por su orden, en 21 de junio de 1995, 3 de julio de 1996 y 28 de febrero y 10 de abril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Hasta aquí los hechos y las consideraciones que el recusante efectúa para entender que el Magistrado recusado está incurso en las causas 6, 9, 10 y 13 del artículo 219 de la Ley Orgánica del Poder Judicial supletoriamente aplicables a los Magistrados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lo expuesto procede ahora examinar si como consecuencia de ello el Magistrado objeto de recusación podría haber incurrido en una o varias de las causas de recusación que se esgrimen por el recusante. Por seguir el orden en el que se enuncian en el escrito de recusación, la comprendida en el número 6 del art. 219 LOPJ considera causa de recusación para un Juez o Magistrado “haber sido defensor o representante de alguna de las partes, emitido dictamen sobre el pleito o causa como Letrado, o intervenido en él como Fiscal, perito o testigo”. De la literalidad del precepto no es posible en modo alguno colegir que el Magistrado recusado se halle en la situación que la norma describe. Y no cabe una interpretación distinta de la que de la Ley se desprende. Es obvio que la persona a la que se recusa no intervino en el pleito o causa que se sustanció ante el Tribunal de Cuentas y posteriormente en el Tribunal Supremo. No lo hizo como defensor o representante de alguna de las partes, ni emitió dictamen sobre el pleito o causa como Letrado, ni intervino en ninguno de los procesos como Fiscal, perito o testigo. Se trata, por tanto, de una utilización de esa causa carente de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novena causa de recusación que recoge el art. 219 LOPJ se refiere a la que afecte al Magistrado objeto de recusación como consecuencia de la “amistad íntima o enemistad manifiesta con cualquiera de las partes”. En el supuesto que nos ocupa el recurso de amparo se plantea frente a la Sentencia de la Sala Tercera del Tribunal Supremo, Sección Séptima, de 30 de enero de 2012, pronunciada en el recurso de casación núm. 6275-2009, y el Auto de 26 de junio siguiente que rechazó los incidentes de nulidad de actuaciones presentados frente a la Sentencia referida en cuyo proceso fueron partes recurrentes don Antonio Ribero Jubete, la Fundación Tripartita para la Formación en el Empleo y el Ministerio Fiscal y como recurridos y en lo que nos interesa don Ignacio Velilla Fernández y la Fundación Tripartita para la Formación en el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Concretándonos ahora al supuesto que nos ocupa, del planteamiento que se hace por parte del recusante se deduce que lo que achaca al Magistrado al que se recusa es una enemistad manifiesta hacia su persona en tanto que parte en el proceso constitucional en cuya resolución ha de intervenir. Y para ello se argumenta que prestó unos servicios profesionales a la fundación en la que se integraba el recurrente, y que fue él quien en su calidad de responsable de los servicios jurídicos internos de la Fundación negoció con el recusado las cuestiones que deberían ser objeto de dictamen y los honorarios que debía percibir y que percibió.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esa relación profesional que se llevó a cabo entre 1995 y 1997 totalmente lícita por parte del recusado en la condición en la que la desempeñaba en aquel momento de su trayectoria académica y profesional no puede deducirse la enemistad manifiesta que requiere el artículo 219 de la Ley Orgánica del Poder Judicial en su número 9. Es esta una causa de recusación subjetiva y cuya mera presunción tal y como se opone en este caso no destruye la imparcialidad que acompaña o está ínsita en la conducta del Juez, y ello porque en los términos en que se expresa la Ley la relación de enemistad, debe tratarse de una animadversión manifiesta, profunda y acreditada. Algo que en ningún caso se deduce de las razones que utiliza como argumentos para ello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si lo que se está afirmando es que el recusado mantiene amistad íntima o afinidad con el sindicato UGT y con miembros del mismo que a su vez son patronos de la fundación que es parte en el proceso, ello no pasa de ser meras afirmaciones que en todo caso no ponen en cuestión la imparcialidad del recusado en la resolución del recurso en el que interviene, sin olvidar lo afirmado más arriba en cuanto a la subjetividad de la causa y el alcance de la expresión íntima que adjetiva a la relación y que, en modo alguno, puede presumirse. En consecuencia esta causa a la que se refiere el art. 219.9 LOPJ también carece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preciso examinar ahora la tercera de las causas de recusación que formula el Sr. Velilla Fernández, la décima de las que enumera el art. 219 LOPJ, y que considera como tal, el que el Magistrado al que se recusa pueda “tener interés directo o indirecto en el pleito o causa”. Como las anteriores carece de razón de ser. Ese interés lo vinculan los escritos en los que se solicita la recusación y se pretende aportar un principio de prueba que la sustente, con la relación profesional que mantuvo el Magistrado con la fundación que es parte en el proceso y en la que trabajaba el recusante como responsable de los servicios jurídicos internos, y que también es parte del mismo, y ello porque fue él quien encargó los tres dictámenes y el asesoramiento que el Magistrado llevó a cabo y cobró.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Olvida el recusante que el recusado efectuó esos trabajos entre los años 1995 y 1997 y los llevó a cabo en el ámbito profesional que le era propio. De ese hecho no puede deducirse que el recusado tenga o pueda tener ningún interés en el proceso en el que interviene ni directo ni indirecto. La interpretación de esa causa requiere un interés singularizado en relación con el concreto proceso en que se plantee la recusación (ATC 26/2007, de 5 de febrero, FJ 7) y actual, esto es, concurrente en el momento en que se promueve el apartamiento del Magistrado mediante su recusación, y como es evidente en modo alguno puede establecerse esa relación del Magistrado recusado y la cuestión a decidir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último nos detendremos en el examen de la causa de recusación que cierra el elenco de las dirigidas a obtener el apartamiento del Magistrado al que se recusa del conocimiento del proceso que corresponde a la Sala en la que ejerce su función de Magistrado del Tribunal Constitucional. Esa causa decimotercera considera supuesto de recusación “haber ocupado cargo público, desempeñado empleo o ejercido profesión con ocasión de los cuales haya participado directa o indirectamente en el asunto objeto del pleito o causa o en otro relacionado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tenor literal del precepto se deduce la inadecuación de esa causa con la situación concreta con la que se vincula la pretendida recusación del Magistrado recusado. Sin necesidad de reiterar ahora lo ya expuesto acerca del alcance de la colaboración en su día prestada a la Fundación por el Magistrado, lo que es obvio es que de ahí no es posible deducir que el mismo haya participado directa o indirectamente en el asunto objeto del pleito o causa o en otro relacionado con el mismo, que es lo exige la Ley cuando configura la causa de recusación que se esgrime. La relación del recusado con el asunto objeto del pleito o causa directa o indirectamente o en otro relacionado con el mismo es inexistente. El contacto profesional que mantuvo con la Fundación fue totalmente ajeno al objeto del proceso que resolvió la Sentencia recurrida en amparo y limitado a la prestación de unos servicios de aquella naturaleza que nada tienen que ver con la cuestión a enjuiciar en el proceso de amparo pendiente.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la representación procesal de don Ignacio Vellilla Fernández en el recurso de amparo 6001-2012.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