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91</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marzo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Valdés Dal-Ré, don Pedro José González-Trevijano Sánchez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5688-2013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5688-2013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del recurso por la pérdida de objeto del amparo interpuesto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4 de octubre de 2013, el Procurador de los Tribunales don Javier Cuevas Rivas, en nombre y representación de don Isidro Garalde Bedialauneta, interpuso demanda de amparo contra el Auto de la Sala de lo Penal del Tribunal Supremo de 9 de mayo de 2013, por el que se declara no haber lugar a la admisión del recurso de casación núm. 10157-2013 interpuesto contra el Auto del Pleno de la Sala de lo Penal de la Audiencia Nacional de 30 de noviembre de 2012 en la ejecutoria núm. 58-1995, sobre licenciamiento.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por ATC 233/2013, de 17 de octubre, acordó estimar justificada la abstención formulada por el Magistrado don Enrique López y López en el presente recurso de amparo. Por acuerdo de la Presidenta de la Sala Segunda de este Tribunal de 17 de febrero de 2014 se designó en sustitución del Magistrado abstenido al Magistrado don Pedro González-Trevijano Sánchez para completar la Sección Cuarta.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Secretaria de Justicia de la Sección Cuarta de este Tribunal, por diligencia de ordenación de 6 de febrero de 2014, solicitó a la Audiencia Nacional que remitiera certificación o copia adverada del Auto del Pleno de la Sala de lo Penal de la Audiencia Nacional de 8 de noviembre de 2013 por el que se acordó la puesta en libertad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por providencia de 21 de febrero de 2014, acordó conceder un plazo de diez días a las partes personadas para que, en virtud del art. 84 de la Ley Orgánica del Tribunal Constitucional, alegaran lo que estimaran conveniente sobre la perdida de objeto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presentó alegaciones mediante escrito registrado el 4 de marzo de 2014, en el que consideró que existía pérdida sobrevenida de objeto del recurso de amparo al haberse producido, tras la admisión de la demanda, la reparación por la Audiencia Nacional de la lesión del derecho a la libertad del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alegaciones mediante escrito registrado el 17 de marzo de 2014, en el que consideró que existía pérdida sobrevenida de objeto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 nuestra reiterada doctrina (por todos, ATC 6/2013, de 14 de enero, que a su vez cita los AATC 43/1985, de 23 de enero, 243/2007, de 21 de mayo, 285/2008, de 22 de septiembre, y 287/2008, de 22 de septiembre), la desaparición sobrevenida del objeto es una de las formas de terminación del proceso constitucional iniciado por el recurso de amparo, cuando las circunstancias sobrevenidas con posterioridad a la presentación de la demanda hacen innecesario un pronunciamiento del Tribunal Constitucional al haberse modificado de manera sustancial la controversia.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“como hemos declarado reiteradamente —así, STC 118/2007, de 21 de mayo, FJ 2— la desaparición sobrevenida del objeto del proceso, aun cuando no contemplada expresamente en el art. 86.1 LOTC, ha sido admitida por este Tribunal como forma de terminación de los distintos procesos constitucionales. En particular y en lo que ahora importa, es lo que sucede en los casos en los que, en el procedimiento que dio origen al recurso de amparo, los propios órganos judiciales han reparado las lesiones del derecho invocado en sede constitucional, (SSTC 305/2000, de 11 de diciembre, FJ 9; 13/2005, de 31 de enero, FJ 2; y ATC 30/2004, de 9 de febrero, FJ 3). De modo que, en estos supuestos, la demanda de amparo deja de tener objeto, toda vez que la reparación de la lesión del derecho fundamental por los propios órganos judiciales, antes de que este Tribunal dicte su decisión, priva de sentido al pronunciamiento sobre una vulneración ya inexistente, salvo que, como también hemos afirmado, a pesar de haber desaparecido formalmente el acto lesivo, debieran tenerse en cuenta otros elementos de juicio que continuaran haciendo precisa nuestra respuesta (SSTC 84/2006, de 27 de mayo, FJ 2; y 128/2006, de 24 de abril, FJ 2)” (STC 133/2007, de 4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tales casos podemos recordar que, “constituyendo el recurso de amparo un remedio jurisdiccional idóneo únicamente para la reparación de lesiones singulares y efectivas de los derechos fundamentales, sin que puedan hacerse valer por medio de dicha vía otras pretensiones que las dirigidas al restablecimiento o la preservación de aquellos derechos (art. 41.3 LOTC), cuando ha desaparecido la causa origen del proceso de amparo (así, SSTC 40/1982, de 30 de junio, 32/1982, de 7 de junio, 151/1990, de 4 de octubre, 139/1992, de 13 de octubre, 57/1993, de 15 de febrero, 87/1996, de 21 de mayo, 257/2000, de 30 de octubre, y AATC 56/1983, de 16 de febrero, 287/1984, de 16 de mayo, 43/1985, de 23 de enero, 945/1985, de 19 de diciembre, 258/1992, de 14 de septiembre), no cabe sino concluir, en principio, que éste carece desde ese momento de objeto sobre el que deba pronunciarse este Tribunal (por todos, ATC 156/2003, de 19 de mayo, FJ 5)” (ATC 286/2006, de 24 de julio, FJ 2). De cualquier modo, conviene advertir que es preciso excluir todo automatismo en la respuesta, por lo que habrá que atender a las circunstancias particulares que concurren en cada caso (STC 305/2000,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examen de los autos se desprende que, por Auto del Pleno de la Sala de lo Penal de la Audiencia Nacional de 8 de noviembre de 2013, se resolvió hacer extensiva la aplicación de la Sentencia del Tribunal Europeo de Derechos Humanos de 21 de octubre de 2013 por la similitud existente con las pretensiones del demandante de amparo. Y en consecuencia tomar como referencia el tope máximo de treinta años, para, a partir de él, hacer los descuentos que correspondan por redenciones, y acordar la libertad de la recurrente. En dicho Auto se acordó la inmediata puesta en libertad y se declararon extinguidas las responsabilidades penales.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reconocía que las redenciones debían ser abonadas del tope máximo de treinta años. Precisamente esa fue la pretensión que el demandante sostuvo en su recurso de amparo. Habiéndose decretado la puesta en libertad del recurrente, de conformidad con lo dispuesto en los arts. 80 y 86.1 de la Ley Orgánica del Tribunal Constitucional (LOTC), en relación con el art. 22 de la Ley de enjuiciamiento civil, procede declarar la pérdida de objeto del presente recurso, en tanto que la continuación del proceso no satisface ningún interés.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del recurso por la pérdida de objeto del amparo interpuesto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marzo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