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5987-2012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5987-2012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número 5987-2012,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providencia y Auto de la Sala de lo Contencioso-Administrativo del Tribunal Supremo en recurso de casación 4763-2011, contra la Sentencia dictada por la Sección Segunda de la Sala de lo Contencioso-Administrativo del Tribunal Superior de Justicia de Canarias en recurso núm. 251-2009.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13 de enero de 2015, el Magistrado don Ricardo Enríquez Sancho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15 de marzo de 2012, resolución impugnada en el presente recurso de amparo núm. 5987-2012.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esta Sala Segunda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15 de marzo de 2012, en el recurso de casación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número 5987-2012,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