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Acordar la anotación preventiva de la demanda de amparo en el Registro de la Propiedad, a cuyo efecto el Juzgado de Primera Instancia núm. 2 de Alzira realizará las actuaciones oportunas de acuerdo con la legislación procesal e hipotecaria.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21 de febrero de 2014, el Procurador de los Tribunales don Víctor Enrique Mardomingo Herrero, en nombre y representación de la entidad Secciones Mobiliarias, S.L., interpuso demanda de amparo contra el Auto de fecha 30 de diciembre de 2013, dictado por la Audiencia Provincial de Valencia (Sección Undécima), desestimatorio de la solicitud de nulidad de actuaciones promovida contra el Auto de 26 de julio de 2013, dictado por el mismo órgano judicial en el rollo núm. 707-2012 que, a su vez, había rechazado el recurso de apelación interpuesto contra el Auto de 15 de julio de 2011 del Juzgado de Primera Instancia núm. 2 de Alzira, recaído en el juicio de ordinario núm. 152-2011.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 en la vulneración del derecho a la tutela judicial efectiva (art. 24.1 CE), en su manifestación de derecho de acceso al proceso. La entidad recurrente entiende que el Auto de 15 de julio de 2011, dictado por el Juzgado de Primera Instancia núm. 2 de Alzira y confirmado en apelación por el Auto de 26 de julio de 2013 de la Audiencia Provincial de Valencia (Sección Undécima), inadmitió indebidamente la acción de retracto ejercitada por la actora, con carácter principal, en el juicio ordinario 152-2011 aplicando una causa de inadmisión —la consignación del precio de compraventa— ajena a la regulación procesal aplicable. La vulneración procedería de una confusión entre la consignación o la constitución de caución —como requisito procesal para la admisión a trámite de la demanda de retracto que, de acuerdo con el art. 266.3 de la Ley de enjuiciamiento civil, sólo es exigible cuando viene expresamente impuesto por la ley o por el contrato en vigor—, y el reembolso al comprador del precio de la venta y de los gastos derivados que impone el art. 1518 del Código civil —como requisito sustantivo para el ejercicio del derecho de retracto una vez obtenida Sentencia estimatoria del mismo—. Los órganos del Poder Judicial habrían convertido el segundo precepto en óbice de admisibilidad de la demanda, impidiendo a la actora, sin cobertura legal suficiente, el acceso a los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por sendas providencias de 18 de diciembre de 2014, acordó, respectivamente, la admisión a trámite de la demanda de amparo y la formación de pieza separada para la tramitación del incidente sobre la suspensión, dando al recurrente y al Ministerio Fiscal un plazo común de tres días para que alegasen lo que estimasen pertinente sobre la medida cautelar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30 de diciembre de 2014 la entidad recurrente presentó en el Registro General de este Tribunal su escrito de alegaciones, en el que insiste en la necesidad de la suspensión de las resoluciones impugnadas para evitar que una eventual desestimación de la pretensión subsidiaria —relativa a la vigencia y exigibilidad del contrato de arrendamiento— le genere perjuicios económicos que estima “muy elevados”.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20 de enero de 2015, el Ministerio Fiscal presentó sus alegaciones, oponiéndose a la suspensión solicitada. A estos efectos, el Ministerio Fiscal argumenta, de un lado, que las resoluciones impugnadas tienen un contenido meramente negativo. Entiende, por otro lado, que la entidad recurrente no ha justificado adecuadamente la existencia de perjuicios concretos y reales, de naturaleza irreparable, limitándose a “invocar unos hipotéticos y genéricos perjuicios económicos, que afirma de valor incalculable, sin concreción ni justificación alguna”. Finalmente, el Fiscal también pone de manifiesto que la denegación de la suspensión no haría perder al amparo su finalidad ya que, en caso de estimarse el recurso, el restablecimiento del derecho podría lograrse declarando la nulidad de la decisión recurrida, así como de las posteriores, y la retroacción de las actuaciones. No obstante, el Fiscal interesa que, en lugar de la suspensión interesada, se acuerde la anotación preventiva de la demanda de amparo en el Registro de la Propiedad, a efectos de preservar el derecho de retracto ejercitado por la sociedad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El mismo precepto dispone, como limitación a esa facultad, que la suspensión no debe ocasionar “perturbación grave a un interés constitucionalmente protegido, ni a los derechos fundamentales o libertades públicas de otra persona”. Como ha señalado este Tribunal, la acreditación del perjuicio es carga del recurrente, que debe concretarlo suficientemente, así como justificar o argumentar razonadamente la irreparabilidad del mismo. En este sentido,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recurrente solicita la suspensión de las decisiones judiciales que condujeron a la inadmisión de la acción principal de retracto ejercitada en el juicio ordinario 152-2011, petición a la que no puede accederse por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trata de una decisión que, por su contenido negativo, no es susceptible de suspensión ya que, según viene reiterando este Tribunal, la suspensión equivale en estos supuestos al adelantamiento de un eventual fallo estimatorio.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recurrente no ha cumplido con la carga que le incumbe de justificar y argumentar razonadamente los concretos perjuicios y su carácter irreparable. En este sentido, los perjuicios invocados por la actora: (i) son genéricos pues la recurrente se limita a calificarlos de “muy elevados”, (ii) son hipotéticos, ya que se supeditan a la desestimación de la acción subsidiaria que, para la declaración de la vigencia y exigibilidad del arrendamiento, se halla pendiente de resolución ante el Juzgado de Primera Instancia; (iii) son de naturaleza económica, tipología de perjuicio de la que no puede deducirse, como línea de principio, la imposibilidad de reparación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denegación de la suspensión no es susceptible de hacer perder al amparo su finalidad ya que, en caso de estimarse el presente recurso, el restablecimiento pleno del derecho de la recurrente podría lograrse declarando la nulidad de las resoluciones y la retroacción de las actuaciones, siendo ésta precisamente la tutela que la actora solicita del Tribunal en el suplico de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petición efectuada por la actora ha de ser, por tanto, denegada.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no obstante, por resolver la petición realizada por el Ministerio Fiscal para que se proceda a la anotación preventiva de la demanda de amparo en el Registro de la Propiedad, a efectos de preservar el derecho de retracto ejercitado por la sociedad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recordar, en primer lugar, que este Tribunal ha venido admitiendo la adopción de otras medidas cautelares distintas de la suspensión del acto o resolución impugnados prevista en el art. 56 LOTC, posibilidad que hoy le concede abiertamente el apartado tercero del referido precepto. En particular, en el marco de una interpretación finalista de esta norma, hemos admitido la posibilidad de acordar la anotación preventiva de la demanda de amparo, como medida cautelar que “anuncia la pendencia de un proceso cuya decisión final puede implicar la ineficacia o inoperancia jurídica de los títulos inscritos con posterioridad, en el caso de que se demande en un proceso judicial la propiedad o la constitución, declaración, modificación o extinción de cualquier otro derecho real sobre un bien inmueble” (AATC 81/1995, de 6 de marzo, 114/1996, de 30 de abril, 307/1999, de 13 de diciembre, 162/2003, de 19 de mayo, y 406/2003, de 15 de diciembre,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ya señalamos en el ATC 81/1995, de 6 de marzo, que “la declaración de nulidad del acto o resolución judicial que haya impedido el pleno ejercicio de los derechos o libertades protegidos, es uno de los pronunciamientos que puede contener la Sentencia que otorgue el amparo [art. 55.1 a) LOTC] y, por ello, la Sentencia recaída en un recurso de amparo puede producir los mismos efectos de anulación o destructores de eficacia jurídica sobre los títulos inscritos en el Registro de la Propiedad que las resoluciones judiciales, razón por la cual deben entenderse incluidas también las hipótesis de demandas de amparo en el supuesto del art. 42.1 de la Ley hipotecaria, que si no se mencionan es simplemente porque en la época en que se redactó el precepto no existía la jurisdicción constitucional. Interpretación a la que, por otra parte, se llega, sin dificultad, atendiendo al espíritu y finalidad de la norma y a la nueva realidad social y jurídica que resulta de la existencia del Tribunal Constitucional, conforme a los criterios hermenéuticos del art. 3.1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estos criterios, este Tribunal ha acordado en ocasiones anteriores, con la finalidad de asegurar que la publicidad registral “preserve los derechos inscritos del demandante de amparo afectados por la vulneración del derecho fundamental objeto del proceso constitucional”, la anotación preventiva de la demanda de amparo con la finalidad de preservar un derecho de retracto que el actor no pudo hacer valer en el proceso judicial por habérsele denegado la posibilidad de acceder a los tribunales (ATC 406/2003,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se infiere que la medida de anotación preventiva constituye, tal y como pone de relieve el Ministerio Fiscal, un instrumento idóneo para preservar, en casos como el que nos ocupa, la finalidad del recurso amparo armonizándola con exigencias mínimas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a la adopción de la medida cautelar indicada no se opone que ésta no haya sido expresamente solicitada por el demandante de amparo, ya que, según hemos declarado en ocasiones precedentes, la anotación preventiva es “una medida cautelar que este Tribunal, de conformidad con el art. 56 LOTC, puede adoptar de oficio o a instancia de parte, con fundamento en el art. 42.1 de la Ley hipotecaria (AATC 274/2002, de 18 de diciembre, 257/2003, de 14 de julio, 230/2007, de 7 de mayo, FJ 3; y 415/2007, de 5 de noviembre, FJ 4) y una de cuyas finalidades es que el Registro de la Propiedad sea fiel trasunto de la realidad jurídica —en ese caso, la pendencia del presente proceso constitucional— y, por ende, un eficaz instrumento de seguridad jurídica” (ATC 213/2009, de 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única salvedad, a la hora de acordar la medida indicada, es que la decisión del Tribunal en esta materia se limite “a ordenar que se practique la anotación preventiva solicitada por el demandante, remitiendo al órgano judicial la práctica de las actuaciones pertinentes para que pueda llevarse a efecto la medida de conformidad con la legislación procesal e hipotecaria, y así lo ha venido acordando en diversas ocasiones (AATC 266/1993; 247/1994; 114/1996; 274/2002, entre otros)” (ATC 406/2003, de 15 de diciembre,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esta sola prevención, debemos acordar la anotación preventiva de la demanda de amparo en el Registro de la Propiedad, tal y como interesa el Ministerio Fiscal en su escrito de alegaciones.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solicitada.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Acordar la anotación preventiva de la demanda de amparo en el Registro de la Propiedad, a cuyo efecto el Juzgado de Primera Instancia núm. 2 de Alzira realizará las actuaciones oportunas de acuerdo con la legislación procesal e hipotecaria.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