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6197-2012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6197-2012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8 de mayo de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noviembre de 2012, el Procurador de los Tribunales don Miguel Torres Álvarez, en nombre y representación de doña María Isabel Hernández Bernal, y bajo la dirección del Letrado don Mario Páez Álvarez, presentó demanda de amparo contra el Auto de la Sección Segunda de la Audiencia Provincial de A Coruña de 19 de septiembre de 2012, por el que se desestima el incidente de nulidad interpuesto contra la Sentencia de 28 de mayo de 2012 que estima el recurso de apelación núm. 576-2012 interpuesto contra la Sentencia del Juzgado de lo Penal núm. 6 de A Coruña de 27 de enero de 2012, dictada en el procedimiento abreviado núm. 298-2010.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este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fue absuelta por Sentencia del Juzgado de lo Penal núm. 6 de A Coruña de 27 de enero de 2012, dictada en el procedimiento abreviado núm. 298-2010, de delito de daños del que era acusada. La Sentencia declara probado que la acusada, con motivo del abandono de un local que tenía arrendado, contrató a una persona para que retirara todos los objetos que consideraba de su propiedad, incluyendo la instalación eléctrica, puertas interiores y el plomo de una habitación de rayos x, para lo que tuvo que romper parte de una pared de pladur, así como otros desperfectos y almacenamiento de escombros. La Sentencia considera que los hechos no son constitutivos de un delito de daños al no concurrir el dolo específicamente delictivo y propio de este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acusación particular interpuso recurso de apelación, tramitado con el núm. 576-2012 por la Sección Segunda de la Audiencia Provincial de A Coruña, que fue estimado por Sentencia de 28 de mayo de 2012 condenando, entre otros, a la ahora demandante en amparo como autora de un delito de daños a la pena de multa de seis meses con una cuota diaria de diez euros y al pago de una responsabilidad civil. Esta Sentencia argumenta que, sin necesidad de modificar los hechos probados en respeto a la STC 167/2002, las fotografías unidas a la causa y los informes de la guardia civil y los peritos “evidencian claramente la existencia de daños intencionados, pues son de tal magnitud y entidad que no pueden responder a otra intención”.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recurrente formuló incidente de nulidad de actuaciones alegando la vulneración del derecho a un proceso con todas las garantías por entender que había sido condenada en la segunda instancia sin respetar la garantía de inmediación y sin que hubiera sido oída. El incidente fue desestimado por Auto de 19 de septiembre de 2012 argumentando, con cita en la STC 153/2011, de 17 de octubre, que la doctrina constitucional permite la revocación de sentencias absolutorias “cuando el nuevo criterio no implique una nueva y distinta valoración de la prueba personal efectuada por el sentenciados de instancia, como aquí ocurre, en donde se ha mantenido el relato fáctico de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aduce en su demanda de amparo que se ha vulnerado su derecho a un proceso con todas las garantías (art. 24.2 CE), por entender que había sido condenada en la segunda instancia sin respetar la garantía de inmediación y sin haber sido oída. En la demanda se justifica la especial trascendencia constitucional del recurso con fundamento en que, de conformidad con lo expuesto en el apartado f) del fundamento jurídico 2 de la STC 155/2009, de 25 de junio, el órgano judicial ha incurrido en una negativa manifiesta del deber de acatamiento de la doctrina constitucional. Argumenta que las citan que se hacen en la resolución impugnada de la jurisprudencia constitucional no son aplicables al caso ya que no se trata de una cuestión de estricta calificación jurídica sino que se varían lo hechos probados y se valoran pruebas personales.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8 de mayo de 2013, acordó no admitir el recurso a trámite, con arreglo a lo previsto en el art. 50.1 b) de la Ley Orgánica del Tribunal Constitucional, dado que no apreciaba especial transcendencia constitucional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4 de junio de 2013, interpuso recurso de súplica contra dicha providencia, solicitando que fuera dejada sin efecto y se repusieran las actuaciones para que se decidiera nuevamente sobre la admisión de la demanda de amparo. El Ministerio Fiscal expone que la recurrente fundamenta la especial transcendencia constitucional del recurso en una supuesta negativa manifiesta del deber de acatamiento de la doctrina constitucional [STC 155/2009, FJ 2 f)] y que, efectivamente, no cabe apreciar dicha causa de la especial trascendencia por no concurrir una decisión consciente de incumplimiento deliberado, tal como exige la STC 133/2011. Sin embargo, somete a consideración del Tribunal la apreciación de otros factores de la especial trascendencia constitucional como es la incorrecta aplicación generalizada y reiterada de la doctrina constitucional [STC 155/2009, FJ 2 e)], que considera que se pone de manifiesto, por un lado, en el gran número de sentencias estimatorias de amparo a que ha dado lugar las condena en segunda instancia y, por otro, en que ya hay dos pronunciamientos previos de estimación de recursos de amparo en relación con este mismo órgano jurisdiccional (SSTC 177/2008 y 185/2005). Igualmente, afirma que, en el nuevo marco de la jurisprudencia constitucional establecido por la STC 88/2013, referido al derecho de audiencia del acusado, también la demanda adquiriría especial transcendencia constitucional al permitir al Tribunal Constitucional consolidar y profundizar en esa exigencia, máxime en un supuesto que afecta a al alcance de la revisión en casos de discrepancia sobre el elemento subjetivo del injusto.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Primera de este Tribunal, por diligencia de ordenación de 5 de junio de 2013, acordó dar traslado del recurso de súplica para alegaciones a la demandante, quien por escrito registrado el 12 de junio de 2013 se adhirió en todos sus términos a los argumentos esgrimidos en dicho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sustenta su recurso de súplica en que no cabe afirmar que el recurso carezca de especial trascendencia constitucional, ya que, si bien es cierto que no concurre la negativa manifiesta al deber de acatamiento de la jurisprudencia constitucional alegada por la recurrente en su demanda de amparo, sí que cabe apreciar una incorrecta aplicación generalizada y reiterada de la doctrina constitucional, que se pondría de manifiesto por (i) el alto número de sentencias estimatorias dictadas por el Tribunal Constitucional sobre el particular y (ii) que este mismo órgano judicial ya ha visto desautorizado su proceder en las SSTC 185/2005 y 177/2008. Igualmente, pone de manifiesto que el recurso permitiría consolidar y perfilar (i) la exigencia de audiencia al acusado en estos casos que ha sido establecida en la STC 88/2013, de 11 de abril, y (ii) los supuestos que afectan al alcance de la revisión cuando la discrepancia se produce sobre el elemento subjetivo del injusto.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en esta fase de admisión le corresponde apreciar en cada caso la existencia o inexistencia de esa “especial trascendencia constitucional”, esto es, si el contenido del recurso justifica una decisión sobre el fondo, atendiendo, conforme al art. 50.1 b) de la Ley Orgánica del Tribunal Constitucional, a su importancia para la interpretación de la Constitución, para su aplicación o para su general eficacia y para la determinación del contenido y alcance de los derechos fundamentales (entre las últimas, STC 167/2014, de 22 de octubre de 2014). Esta exigencia, por otra parte, ha sido considerada por el Tribunal Europeo de Derechos Humanos como respetuosa con las garantías del art. 6.1 del Convenio europeo para la protección de los derechos humanos y de las libertades fundamentales (STEDH de 20 de enero de 2015, caso Arribas Anton contra España, §§ 50-52).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esa potestad, este Tribunal, al acordar la inadmisión del presente recurso por falta de especial trascendencia constitucional, ya ponderó la concurrencia de ese requisito de admisibilidad no solo desde la perspectiva alegada por el recurrente de una eventual negativa manifiesta del deber de acatamiento a la jurisprudencia constitucional que, como afirma el Ministerio Fiscal, no cabe apreciarla en este caso, sino también desde el resto de los supuesto destacados en la STC 155/2009, de 25 de junio, FJ 2. Con motivo del recurso de súplica interpuesto por el Ministerio Fiscal, y atendiendo a las concretas causas que alega, este Tribunal debe ahora confirmar su inicial apreciación de que el presente recurso no cuenta con la necesaria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que el presente recurso permitiría consolidar y perfilar la exigencia de audiencia al acusado y las posibilidades de revocación inaudita parte en caso de controversia sobre el elemento subjetivo del delito, hay que afirmar que la jurisprudencia sobre esta exigencia de audiencia, como bien se resume en la citada STC 88/2013, tiene su origen en la STC 184/2009, habiendo sido después aplicada y concretada en numerosas resoluciones (SSTC 45/2011, de 11 de abril, 142/2011, de 26 de septiembre, 153/2011, de 17 de octubre, o 126/2012, de 18 de junio), representado la STC 88/2013 una compilación de pronunciamiento, que tiene su continuidad en las SSTC 157/2013, de 23 de septiembre, y 205/2013, de 5 de diciembre. Por otra parte, también puede verificarse que ya la mayoría de estos pronunciamientos, a coincidencia con el presente, se referían a supuestos en que la cuestión controvertida era, precisamente, la subsunción de un elemento subjetivo del delito (así, SSTC 142/2011, 153/2011, 126/2011, o 88/2013). Por tanto, ante esta proliferación de pronunciamientos no cabe apreciar la necesidad de la admisión de nuevos asuntos con la finalidad de concretar o perfilar una jurisprudencia que ya está consolidada.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tampoco cabe apreciar la alegada inaplicación generalizada y reiterada de esta doctrina constitucional, vinculada al alto número de sentencias estimatorias dictadas por el Tribunal Constitucional sobre el particular o a la circunstancia de que el órgano judicial que dictó la resolución recurrida en el presente recurso de amparo ya ha visto desautorizado su proceder en las SSTC 185/2005 y 177/2008. Este Tribunal desde la inicial STC 167/2002, de 18 de septiembre, ha resuelto un buen número de asuntos para afrontar una cuestión que por su confusa regulación legal había dado lugar a una alta litigiosidad en la jurisdicción de amparo. Ahora bien, desde aquel pronunciamiento no cabe considerar acreditado que, a pesar de que no ha existido ninguna intervención del legislador, no haya existido una modificación general de las prácticas de los órganos judiciales para adecuar su actuación a esta jurisprudencia constitucional en los términos establecidos en el art. 5.1 de la Ley Orgánica del Poder Judicial. De hecho, y por lo que se refiere, al concreto órgano judicial cuya resolución se impugna en el presente recurso de amparo, si bien es cierto lo señalado por el Ministerio Fiscal respecto de las anulación de sus resoluciones en las SSTC 185/2005 y 177/2008, en momentos de consolidación de esta jurisprudencia, también cabe destacar que en la STC 153/2011, de 17 de octubre, se confirmó otra de sus resoluciones.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8 de mayo de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