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5080-2013 promovida por la Sala de lo Social de la Audiencia Nacional, en relación con el art. 2 del Real Decreto-ley 20/2012, de 13 de julio, de medidas para garantizar la estabilidad presupuestaria y de fomento de la competitividad. Han comparecido y formulado alegaciones el Abogado del Estado y el Sindicato Unión Sindical Obrera. Ha intervenido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septiembre de 2013, tuvo entrada en el Registro General de este Tribunal un oficio de la Sala de lo Social de la Audiencia Nacional remitiendo testimonio de las actuaciones correspondientes al procedimiento 107-2013, en materia de conflicto colectivo, seguido a instancia del sindicato Unión Sindical Obrera, contra la Administración General del Estado (Ministerio de Hacienda y Administraciones Públicas). Éstas incorporan el Auto de 5 de julio de 2013, por el que se acuerda plantear cuestión de inconstitucionalidad en relación con el art. 2 del Real Decreto-Ley 20/2012, de 13 de julio, de medidas para garantizar la estabilidad presupuestaria y de fomento de la competitividad, en su aplicación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proceso en el que se plantea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Unión Sindical Obrera (USO) promovió un procedimiento de conflicto colectivo que tenía por objeto la declaración de nulidad de la decisión empresarial de no abonar la paga extraordinaria del mes de diciembre de 2012 y el reconocimiento del derecho de los trabajadores afectados a percibir dicha paga. Subsidiariamente, en el caso de que no fuera estimado lo anterior, solicitaba el reconocimiento del derecho a percibir la parte proporcional de la mencionada paga por el periodo devengado hasta el 14 de julio del mismo año. Además de otras vulneraciones de derechos constitucionales, invocaba el sindicato demandante la vulneración por el precepto legal cuestionado del principio de irretroactividad de las normas restrictivas de derechos (art. 9.3 CE), haciendo alusión al escrito de la Defensora del Pueblo, conforme al cual los trabajadores debían tener derecho a la parte proporcional según la forma de devengo y, por tanto, el derecho a percibir la paga suprimida en la cuantía devengada hasta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Celebrada la vista y concluso el procedimiento para Sentencia, la Sala acordó, mediante providencia de 9 de mayo de 2013, oír a las partes y al Ministerio Fiscal, por el plazo común de diez días, sobre la pertinencia de plantear cuestión de inconstitucionalidad sobre el art. 2 del Real Decreto-ley 20/2012, de 13 de julio, citado en el encabezamiento. La duda planteada consistía en que el citado precepto, al establecer la reducción de retribuciones en las cuantías que correspondiera percibir el mes de diciembre de 2012, sin excepción alguna respecto de la parte ya devengada a la fecha de entrada en vigor del Real Decreto-ley, podría vulnerar el principio de irretroactividad de las normas restrictivas de derechos individuales, al ser la paga extraordinaria una manifestación del salario diferido que se devenga día a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21 de mayo de 2013, los sindicatos FSC-CC.OO, CSIF, UGT FED, servicios públicos, CIG y ELA se personaron en el procedimiento solicitando se les tuviera como partes, y se les concediera plazo para formular alegaciones respecto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del mismo día se acordó tenerles por personados y se les dio traslado de las actuaciones a fin de que alegasen, en el plazo de diez días a partir de la recepción de la resolución,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22 de junio de 2013, el Abogado del Estado presentó alegaciones suplicando el no planteamiento de la cuestión de inconstitucionalidad. Con esta misma fecha, USO presentó las suyas solicitando la elevación de la cuestión. El informe del Ministerio Fiscal, con entrada en la Sala el 29 de mayo de 2013, señalaba, sin entrar en el fondo de la cuestión planteada, que el juicio de relevancia era correcto por lo que correspondía a la Sala resolver sobre el planteamiento de la cuestión de inconstitucionalidad. Finalmente, el 13 de junio de 2013 presentaron sus alegaciones FSC-CC.OO, CSIF, y UGT solicitando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5 de julio de 2013, la Sala acordó elevar cuestión de constitucionalidad ante el Tribunal Constitucional para que resolviera si la redacción del art. 2 del Real Decreto-ley 20/2012, de 13 de julio, de medidas para garantizar la estabilidad presupuestaria y de fomento de la competitividad, en su aplicación al personal laboral del sector público, ha vulnerado o no el principio de irretroactividad de las disposiciones restrictivas de derechos individuales contemplado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razonamiento en que se basa el Auto de 5 de julio de 2013, es el que a continuación se expone. Considera que el precepto citado suprime la paga extraordinaria del mes de diciembre del 2012 a partir de su entrada en vigor, el 15 de julio de 2012, sin que precise cosa alguna sobre excepciones por derechos devengados, por lo que no es posible interpretar que el art. 2 del Real Decreto-ley citado permite abonar la parte de la parte de la paga extraordinaria que ya se hubiera devengado a su entrada en vigor. De la constitucionalidad de la norma legal cuestionada depende el contenido del fallo, pues una de las pretensiones formuladas en las demandas es que se mantenga incólume la percepción de la parte ya devengada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Auto de la doctrina constitucional sobre el fundamento y alcance de la prohibición de retroactividad de las disposiciones restrictivas de derechos individuales (con referencia expresa a la STC 112/2006, de 5 de abril) y señala que, a pesar de ser consciente del espíritu restrictivo que impregna la interpretación del art. 9.3 CE, concurren en este caso los requisitos para concluir la lesión del mencionado principio. Se trata de un derecho individual, pues los derechos retributivos pertenecen a la esfera de protección de la persona consagrados en el art. 35 CE, que comprende el derecho al trabajo remunerado y la promoción económica a través del trabajo, en definitiva, un concepto más amplio que la estricta cuantía mínima interprofesional que encaja en el supuesto de hecho del art. 9.3 CE. Además, la supresión de la paga extraordinaria para el personal laboral del sector público, constituye un supuesto de retroactividad auténtica. Entiende la Sala que frente a la concepción que el Abogado del Estado hace derivar de la norma impugnada, que no es otra que el devengo puntual en el momento del pago de las gratificaciones, debe primar la concepción jurisprudencial según la cual el devengo se hace día a día. En primer lugar, porque se trata de una jurisprudencia consolidada que constituye fuente del derecho. En segundo lugar, porque estos reiterados pronunciamientos se han vertido en recursos de casación en unificación de doctrina sobre los que el Tribunal Constitucional ha mantenido un valor normativo complementario de salvaguarda de la pureza de la ley. En tercer lugar, porque nada hay en la norma, más allá de su entrada en vigor, que permita entender que el legislador ha pretendido corregir el criterio jurisprudencial sobre las pagas extraordinarias, siendo así que este cambio del concepto de las pagas extraordinarias debía haber sido expreso y no quedar en manos de una presunta voluntad tácita del legislador. Se trata, pues de una retroactividad de grado máximo o auténtica.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 la Abogacía del Estado, según el cual la retroactividad estaría ligada al bien común y al interés general al que sirven los ajustes presupuestarios provocados por la situación de crisis, entiende la Sala que la excepción que puede introducirse a la prohibición de retroactividad del art. 9.3 CE debe ser interpretada restrictivamente, no sólo porque al tratarse de una excepción no puede albergar una concepción amplia de los supuestos que comprende, sino también porque el Tribunal Constitucional ha añadido un plus más restrictivo aún, al referirse a exigencias “cualificadas del bien común” y no a cualquier bien común. Señala el Auto que resulta necesario tener en cuenta la seguridad jurídica, pues si esta regla opera en el caso de retroactividad de las normas tributarias que no son restrictivas de derechos, con mayor razón deberá hacerlo en este caso. Pues bien, la reducción del déficit público no reúne la nota de calificación excepcional necesaria para sacrificar el principio constitucional de seguridad jurídica, siendo el interés general el que se ataca al negar el derecho a percibir el salario correspondiente a quienes hayan prestado los servicios. El bien común que justifica el sacrificio de la irretroactividad debe estar conectado con valores de igual entidad, como los derechos fundamentales de los ciudadanos. Por el contrario, el propio Tribunal Constitucional ha entendido que ni la finalidad de evitar el enriquecimiento injusto puede considerarse una especial circunstancia de interés general que resulte prevalente a los principios de seguridad jurídica e interdicción de la arbitrariedad (STC 18 de mayo de 2009), ni tampoco la claridad y sencillez del sistema y facilidad de la gestión y continuidad del aseguramiento puede imponerse a la modificación retroactiva del encuadramiento en la Seguridad Social de un determinado colectivo (STC de 20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Auto señalando que tanto las instituciones europeas (resolución del Parlamento de 5 de julio de 2011, sobre el futuro de los servicios sociales de interés general), como el Tribunal Europeo de Derechos Humanos (Sentencia de 6 de octubre de 2005, Draon contra Francia) tienen una concepción elevada de lo que representa el interés general. De ahí que entienda que la pretensión de reducir el gasto público, por muy urgente y necesaria que sea, no constituye sin más un bien común que abra la puerta a exceptuar los principios básicos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el Auto, finalmente, que exista una expropiación legislativa de derechos que contemple la adecuada indemnización. La hipotética devolución futura de cantidades ni está garantizada, ni es propiamente una devolución, pues las cuantías detraídas se aportarán a planes de pensiones o contratos de seguro cuya existencia dependerá de lo que establezca el legislador en el futuro, sin que se determinen los concretos términos o condiciones, quedando sometida esta “compensación” al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octubre de 2013, el Pleno del Tribunal Constitucional acordó admitir a trámite la presente cuestión de inconstitucionalidad; deferir su conocimiento a la Sala Primera; dar traslado de las actuaciones al Congreso de los Diputados, al Senado, al Gobierno y al Fiscal General del Estado para personación y alegaciones; comunicar la resolución a la Sala de lo Social de la Audiencia Nacional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en el Tribunal Constitucional el 23 y 25 de octubre de 2013, los Presidentes del Senado y del Congreso, actuando en la representación que legalmente ostentan, se personaron en el proceso y dieron por ofrecida la colaboración de ambas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Abogado del Estado, que a continuación se resumen, tuvieron entrada en el Tribunal Constitucional el 30 de octubre de 2013. Comienza acotando el objeto de la cuestión, ya el Auto de planteamiento solo se refiere en realidad al apartado 2.2 del art. 2, es decir, a la aplicación de la supresión de la paga extraordinaria de diciembre al personal laboral del sector público y sólo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Una inconstitucionalidad por omisión de la que, en su caso, no se derivaría la inconstitucionalidad del art. 2 del Real Decreto-ley 20/2012, sino la obligación del legislador de excepcionar de la supresión la parte proporcional de los días 1 al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nos encontremos ante una “disposición sancionadora no favorable o restrictiva de derechos individuales” en el sentido del art. 9.3 CE. El art. 35.1 CE (derecho a una remuneración suficiente) comprende el derecho al “mantenimiento” de una determinada retribución con independencia de la coyuntura económica, ni permite afirmar que una reducción salarial es una norma constitucionalmente restrictiva de derechos en el sentido del art. 9.3 CE. Tampoco establece una retroactividad proscrita por el art. 9.3 CE, la “auténtica o de grado máximo” (que supone la incidencia sobre relaciones consagradas y afecta a situaciones agotadas).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 que la Sala resuelve con invocación de la jurisprudencia. Pero la interpretación jurisprudencial de un precepto legal no puede erigirse en parámetro de constitucionalidad de otra norma de rango legal, siendo la jurisprudencia la que tiene que adaptarse a lo que disponga el legislador. De acuerdo con el art. 2 del Real Decreto-ley 20/2012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cuya doctrina es perfectamente trasladaba a la cuestión aquí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en el caso de que se considerase que la norma supone una retroactividad auténtica, concurrirían excepcionales circunstancias de interés público que la justificarían. Recuerda que de conformidad con la doctrina constitucional y con la del Tribunal de Justicia de la Unión Europa, pueden reputarse conformes a la Constitución modificaciones con cualquier grado de retroactividad cuando existieran claras exigencias de “interés general”, siendo la reducción de las retribuciones una medida extraordinaria de “contención de gastos de personal” que tiene por finalidad “contribuir a la consecución del inexcusable objetivo de estabilidad presupuestaria derivado del marco constitucional y de la Unión Europea”. No comparte el Abogado del Estado que el Auto de planteamiento trate de restringir los supuestos en los que procede limitar el principio de irretroactividad y de seguridad jurídica al identificar el “bien común” con “los grandes valores que cohesionan la sociedad” o con “los derechos fundamentales”, considerando, de esta manera, que la reducción del déficit no constituye un bien común. Entiende que tal postura chocaría con la doctrina constitucional que ha señalado que basta la concurrencia de cualificadas exigencias “del bien común o de interés general” para admitir tales restricciones, “razón por la cual, pueden reputarse conforme a la Constitución modificaciones con cualquier grado de retroactividad cuando ‘existieran claras exigencias de interés general’” (por ejemplo, para evitar operaciones de elusión fiscal). Niega, finalmente, que las Sentencias del Tribunal Europeo de Derechos Humanos citadas por el Auto de planteamiento puedan servir para avalar la tesis mantenida en el mismo, ya que a diferencia de lo que ocurre en el presente caso, en tales supuestos se alegaron intereses difusos para proceder a la aplicación retroactiva de una medida que no estaba justificada desde la perspectiva de la proporcionalidad. 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Tribunal Constitucional el 4 de noviembre de 2013, el Fiscal General del Estado realizó sus alegaciones, solicitando la declaración de inconstitucionalidad del precepto cuestionado, por vulnerar el principio de irretroactividad de las disposiciones restrictivas de derechos individuales que garantiza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Si bien no llegan a comprometerse derechos fundamentales o libertades públicas, sí que se ven concernidos derechos individuales, expresión directa de la esfera general de protección de la persona. La idea de sanción resulta clara, pues se pretende extraer del patrimonio de los ciudadanos y sin indemnización, un bien o un derecho del que ya dispone. Esto expuesto, llega a la conclusión de que la norma afecta a un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y se incorporan cada jornada al patrimonio del trabajador, y ello con independencia de que su efectiva percepción tenga lugar en el último mes del período. De este modo, la privación de la cantidad correspondiente a dicho período supondría la restricción injustificada de un derecho individual que como tal, prohíbe el art. 9.3 CE. Invoca, además,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 Recuerda que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el poder público pueda conducirse apartándose de una expresa previsión legal, cuando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finalmente, que en el Auto de planteamiento no se cuestiona todo el art. 2 del Real Decreto-ley 20/2012 sino sólo su apartado 2.2, y que tratándose de un supuesto de retroactividad máxima en relación con derechos ya integrados en el patrimonio de sus titulares, en caso de una declaración de inconstitucionalidad el efecto habría de limitarse al período ya mencionado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noviembre de 2013, USO presentó sus alegaciones en el Registro General del Tribunal Constitucional. Tras recordar el tenor literal de los arts. 70 y 73 del Convenio único para el personal laboral de la Administración General del Estado, de 31 de julio de 2009, y reproducir la regulación del art. 2 del Real Decreto-ley 20/2012, entiende que vulnera los principios de legalidad, jerarquía normativa, seguridad jurídica e irretroactividad de las disposiciones restrictivas de derechos individuales, prohibición de la arbitrariedad (todos ellos del art. 9.3 CE), así como el principio de derecho comunitario de protección de la confianza legítima. Se trata de una norma restrictiva o menos favorable de derechos que prevé la supresión de una partida retributiva en una cuantía que en parte ya ha sido devengada conforme a las normas generales de devengo aplicadas al sector público. La limitación constitucional es clara: la reducción salarial no puede afectar a partidas ya devengadas, siendo preciso distinguir entre devengo, cuantía retributiva y momento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 2 del Real Decreto-ley 20/2012, de 13 de julio, de medidas para garantizar la estabilidad presupuestaria y de fomento de la competitividad,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obligado advertir que, aunque la Sala de lo Social de la Audiencia Nacional plantea la cuestión de inconstitucionalidad respecto del art. 2 Real Decreto-ley 20/2012 in totum, su razonamiento permite concluir que lo único cuestionado es su aplicación al personal laboral del sector público, lo que resulta del todo coherente con el juicio de aplicabilidad y relevancia, pues la cuestión de inconstitucionalidad trae causa de un proceso de conflicto colectivo promovido por varios sindicatos con motivo de la supresión, por aplicación de las previsiones contenidas en el Real Decreto-ley 20/2012, de la paga o gratificación extraordinaria de diciembre de 2012 al personal laboral de la Administración General del Estado (Ministerio de Hacienda y Administraciones Públicas). En este proceso la pretensión principal es la nulidad de la decisión empresarial de no abonar la paga extra del mes de diciembre de 2012 y, subsidiariamente que se declare el derecho de los trabajadores a percibir la parte proporcional de la paga extra de diciembre de 2012 que consideran ya devengada al momento de la entrada en vigor del Real Decreto-ley 20/2012. Así pues,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cuestiona por la Sala de lo Social de la Audiencia Nacional la medida de supresión de la paga extraordinaria de diciembre de 2012 en sí misma considerada (que es la pretensión principal que se deduce por los demandantes en el proceso a quo, como se ha dicho), sino sólo en cuanto su aplicación haya podido suponer la infracción del principio de irretroactividad establecido en el 9.3 CE, al no contemplar excepción alguna respecto de las cuantías de dicha paga extra que se entienden ya devengadas (en concreto, catorce días del mes de julio de 2012) a la fecha de entrada en vigor del Real Decreto-ley 20/2012 (que tuvo lugar el 15 de julio de 2012, conforme a su disposición final decimoquinta), ni fijar indemnización alguna por la supresión de un derecho patrimonial. A esta concreta duda de constitucionalidad (planteada a partir de la pretensión subsidiaria en el proceso a quo) se ceñirá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alcance de nuestra decisión, debemos remitirnos a lo dicho en la STC 83/2015, de 30 de abril, sobre la pérdida de objeto de la cuestión de inconstitucionalidad, como consecuencia de lo establecido en la disposición adicional duodécima de la Ley 36/2014, de 26 de diciembre, de presupuestos generales del Estado para 2015, que bajo el epígrafe “Recuperación de la paga extraordinaria y adicional del mes de diciembre de 2012”, establece, en su apartado 1.1,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según establece en su apartado 1.2; y en su apartado 2 dispone las reglas para el abono de dichas cantidades al personal del sector público estatal,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la que se precisa que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ha de estarse a lo dispuesto en el apartado II de la referida Instrucción, en cuanto que contiene las reglas aplicables al personal laboral del sector público estatal al que resulta de aplicación el III Convenio colectivo único del personal laboral al servicio de la Administración General del Estado, publicado por resolución de 3 de noviembre de 2009 (“BOE” núm. 273, de 12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STC 83/2015 pusimos de manifiesto que era innegable la incidencia que tenía la medida contenida en la disposición adicional duodécima de la Ley 36/2014, de presupuestos generales del Estado para 2015 sobre la pretensión deducida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los trabajadores de la Administración General del Estado (Ministerio de Hacienda y Administraciones Públicas) a percibir la parte proporcional (en concreto, 14 días) de la paga extra de diciembre de 2012, por entenderse ya devengada al momento de la entrada en vigor del Real Decreto-ley 20/2012, contraviene el art. 9.3 CE, en relación con el art. 33.3 CE. Así enmarcada, debemos concluir que la recuperación por esos trabajadores de la parte proporcional correspondiente a los primeros 44 días de la paga extra de diciembre de 2012, en virtud de lo establecido en la citada disposición adicional duodécima de la Ley 36/2014, de presupuestos generales del Estado para 2015, supone la satisfacción extraprocesal de la pretensión deducida en el proceso laboral sobre la que se articula la presente cuestión. Ello determina, al igual que en la antes citada STC 83/2015, la pérdida de objeto de la presente cuestión, una vez perdida la finalidad de la cuestión de inconstitucionalidad, que no es otra que la de realizar un juicio de constitucionalidad concreto, con efectos para el caso en el que ésta se ha planteado, lo que ya no ocurre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