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5104-2015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5104-2015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septiembre de 2015 tuvo entrada en el Registro General de este Tribunal escrito de la Sala de lo Social del Tribunal Superior de Justicia de Canarias, al que se acompaña, además del testimonio del correspondiente procedimiento, Auto de 24 de julio de 2015 por el que se plantea cuestión de inconstitucionalidad en relación con la disposición adicional vigésima octava, apartado 2 a), de la Ley 11/2010, de 30 de diciembre, de presupuestos generales de la Comunidad Autónoma de Canarias por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Entre el 24 y el 30 de marzo de 2011 veintidós trabajadores en su condición de personal laboral al servicio de la Consejería de Cultura, Deportes, Políticas sociales y Vivienda en la Administración autonómica de Canarias presentaron solicitudes en las que pedían el reconocimiento de su derecho a compensar el festivo 1 de enero de 2011, que coincidió con descanso semanal, por otro día de permiso, en aplicación del art. 18 del III convenio colectivo para el personal laboral de la Comunidad Autónoma de Canarias (“BOC” 18/1992, de 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solicitudes fueron denegadas en aplicación de la disposición adicional vigésima octava, apartado 2 a), de la Ley 11/2010, de 30 de diciembre, de presupuestos generales de la Comunidad Autónoma de Canarias para 2011. Denegación confirmada por la resolución de la Secretaría General Técnica de la Consejería de Cultura, Deportes, Políticas sociales y Vivienda de 14 de noviembre de 2011 que desestimó las reclamaciones previas a la vía judicial interpuestas por los mencionados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de 13 de julio de 2011 se interpuso demanda contra dicha resolución, que se tramitó por el procedimiento ordinario con el núm. 710-2011. La Sentencia del Juzgado de lo Social núm. 9 de Las Palmas de 19 de diciembre de 2011 desestimó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Los recurrentes interpusieron recurso de suplicación contra la Sentencia del Juzgado de lo Social, en el que, con carácter previo y antes de articular los motivos del recurso y tras citar los arts. 163 CE y 35 de la Ley Orgánica del Tribunal Constitucional (LOTC), se solicita que la Sala proponga cuestión de inconstitucionalidad, al entender que para la estimación de la demanda es de aplicación el art. 18 del III del convenio colectivo para el personal laboral de la Comunidad Autónoma de Canarias, el cual ha sido suspendido por la disposición adicional vigésima octava, apartado 2 a), de la Ley 11/2010, de 30 de diciembre, de presupuestos generales de la Comunidad Autónoma de Canarias para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único de su recurso, consiste en que la Sentencia de instancia solo atiende a la primacía de la Ley sobre los convenios colectivos, en virtud del principio de jerarquía normativa, y que la disposición adicional vigésima octava, apartado 2 a), de la Ley 11/2010, de 30 de diciembre, de presupuestos generales de la Comunidad Autónoma de Canarias para 2011, es inconstitucional, pues invade las competencias exclusivas del Estado central ex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28 de mayo de 2014, la Sala declara que se le plantean dudas sobre la constitucionalidad de la disposición adicional vigésima octava, apartado 2 a), de la Ley 11/2010, de 30 de diciembre, de presupuestos generales de la Comunidad Autónoma de Canarias para 2011, por posible exceso competencial con vulneración del art. 149.1.7 CE. Se razona que dicho precepto de la Ley autonómica, por el que se suspende para el año 2011 la aplicación del art. 18 del convenio colectivo del personal laboral de la Comunidad Autónoma de Canarias en cuanto a la compensación de los festivos no trabajados coincidentes con el descanso semanal con un día de permiso, no tiene anclaje en el ámbito del art. 149.1.18 CE, sino que legisla sobre una materia estrictamente laboral, la relativa al descanso semanal del personal de la Administración autonómica con vínculo laboral, respecto a la que, tanto la legislación básica estatal (arts. 37 de la Ley del estatuto de los trabajadores: LET y 51 de la Ley del estatuto básico del empleado público: LEEP) como la autonómica que lo desarrolla (art. 67.3 de la Ley 2/1987 de la función pública canaria), instauran un régimen jurídico de derecho necesario relativo solo disponible por los convenios colectivos, cuya eficacia normativa y fuerza vinculante garantizan los arts. 37 CE y 82 ss. LET, de manera que podría producirse una invasión, de la reserva de la competencia exclusiva del Estado establecida en el art. 149.1.7 CE sin habilitación legal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concluye la providencia, dependiendo la resolución del recurso de la aplicación del apartado 2 a) de la disposición adicional vigésima octava de la Ley 11/2010 y de su ajuste al marco constitucional, conforme al art. 35.2 LOTC, se confiere a las partes y al Ministerio Fiscal un plazo de diez días para que formulen alegaciones sobre la pertinencia 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cumplimiento de ese trámite, el servicio jurídico del Gobierno de Canarias formula alegaciones oponiéndose al planteamiento de la cuestión. Sostiene que una regulación que suspende determinados artículos de un convenio colectivo aplicable exclusivamente al personal al servicio de la Administración autonómica —sin contradecir ni mermar el contenido mínimo de derecho necesario regulado en la legislación laboral—, no puede considerarse como legislación laboral en el sentido del art. 149.1.7 CE, pues solo afecta a una norma paccionada que vino a ampliar aquellos mínimos indisponibles en el ejercicio del derecho a la negociación colectiva. El objeto de la competencia estatal ex art. 149.1.7 CE no es el contenido de la negociación colectiva.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estima que se cumplen los requisitos del art. 35 LOTC para plantear la cuestión, sin entrar en el fondo del asunto planteado. Los recurrentes no formularon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24 de julio de 2015 la Sala de lo Social del Tribunal Superior de Justicia de Canarias acordó promover cuestión de inconstitucionalidad en relación con la disposición adicional vigésima octava, apartado 2 a), de la Ley 11/2010, de 30 de diciembre, de presupuestos generales de la Comunidad Autónoma de Canarias para el año 2011, por posible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dedica su primer razonamiento jurídico al juicio de aplicabilidad y de relevancia de la disposición adicional vigésima octava, apartado 2 a), de la Ley 11/2010. Tras detallar las pretensiones de los recurrentes en la demanda rectora del proceso y el motivo de único del recurso de suplicación, señala que resulta indudable que la norma aplicable al caso es la citada disposición adicional, “girando el objeto de la controversia judicial tanto en la instancia como en fase de recurso exclusivamente sobre el alcance y el ajuste al marco constitucional de dicha disposición legal” y que “la resolución que haya de dirimir el recurso se subordina a la validez del precepto de la ley autonómica de referencia sobre el que albergamos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razonamiento jurídico se refiere al “fundamento de la posible tacha a la constitucionalidad de la Disposición Adicional 28 Apartado 2.a L 11/10”. Tras exponer el contenido del art. 18 del convenio colectivo suspendido, el de la disposición autonómica que lo suspende y realizar una digresión sobre el alcance de la competencia estatal en materia de legislación laboral de acuerdo con la jurisprudencia constitucional, en síntesis se señala que el precepto autonómico viene a privar de vigencia a la regulación de un concreto aspecto atinente a la jornada laboral (las libranzas compensatorias de las fiestas laborales que coinciden con los días de descanso semanal) en la norma convencional por la que se mejoran los mínimos de derecho necesario establecidos en el art. 37 LET, que es la norma estatal básica en la materia para el personal laboral de las administraciones públicas conforme al art. 51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 términos, señala que la disposición cuestionada “altera sustancialmente el régimen jurídico de la relación laboral de los empleados de la Comunidad Autónoma establecido en una norma colectiva vigente, que se erige en fuente reguladora de los derechos de los trabajadores por cuenta ajena, y conforme al art. 3.1 ET está por debajo de las disposiciones legales y reglamentarias del Estado, no constituye simple ejecución de la legislación laboral estatal para la que está facultada según el art. 33.2 del Estatuto de Autonomía aprobado por LO 10/82, sino que invade las competencias del Estado en la materia contraviniendo 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se arguye que “no existe fuente normativa de origen legal que establezca un límite máximo a esos aspectos que inciden en la duración de la jornada de trabajo y habilite a las Cortes Generales mediante la correspondiente legislación básica a suspender la aplicación de los preceptos de los convenios estatutarios que la contravengan y como corolario de ello a la Asamblea General de la Comunidad Autónoma de Canarias para adoptar idéntica medida con el orden convencional” y que “no ponemos en tela de juicio que los convenios colectivos no sean inmunes al régimen jurídico de las condiciones laborales establecido en la Ley o en las normas con dicho rango”, sino a que “Canarias tenga competencia para dictar una ley que afecte sustancialmente a determinados derechos de sus empleados con vínculo laboral establecidos en el convenio colectivo que les es aplicable, pues a juicio de la Sala en tal caso estaría legislando en materia laboral adentrándose en el ámbito competencial exclusivo del Estado ex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caso de que se entienda que el precepto no constituye legislación laboral, se señala que la medida “no engarza con lo dispuesto en el art. 149.1.13 y 156 de la Carta Magna”. Se señala que la norma cuestionada carece de conexión con cualquier finalidad estrictamente retributiva del personal al servicio de las Administraciones Públicas, y por tanto con los ingresos y gastos que integran el presupuesto o con la política económica de la que el mismo es instrumento.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afirma que el precepto cuestionado tampoco tiene cobijo competencial en el art. 149.1.18 CE, que enlaza con la Ley 7/2007 de 12 de abril, del estatuto básico del empleado público, pues del efecto combinado de sus arts. 2 y 7, se deprende que dicha norma no se aplica al personal laboral con carácter general, sino únicamente cuando así lo dispone expresamente; y que las Comunidades Autónomas carecen de capacidad normativa para regular la relación laboral del personal a su servicio a través de leyes autonómicas.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octubre de 2015, la Sección Primera acordó, a los efectos que determina el art. 37.1 LOTC, oír al Fiscal General del Estado para que, en el plazo de diez días, alegue lo que considere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6 de noviembre de 2015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describir los antecedentes del caso y las dudas de constitucionalidad planteadas por el órgano judicial, recoge la doctrina constitucional acerca del significado del art. 149.1.7 CE. Seguidamente señala que la norma cuestionada tiene por objeto la correcta aplicación de la Ley 11/2010, de 30 de diciembre, de presupuestos generales de la Comunidad Autónoma de Canarias, para lo que se suspenden los acuerdos y pactos sindicales firmados en el ámbito del personal funcionario y estatutario al servicio del sector público de la Comunidad Autónoma de Canarias. La norma tiene así un objetivo y fundamento económico y financiero, siendo una medida de contención del gasto inserta en una ley de presupuestos en la que se ha llevado a efecto la congelación de las retribuciones del personal al servicio de la administración autonómica. Como se expone en el Auto, con la norma cuestionada se priva de vigencia a una disposición convencional por la que se mejoraban los mínimos de derecho necesario establecidos en el art. 37 LET que es la norma estatal aplicable para el personal laboral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considera que la disposición adicional cuestionada no incide sobre la legislación laboral en el sentido reconocido constitucionalmente, pues no afecta a la estructura básica y general de la normativa laboral ni a sus categorías fundamentales, se trata de una norma inserta en una normativa más genérica que afecta también al personal funcionario y estatutario y que no va dirigida a la totalidad de los trabajadores, sino, en exclusividad, aquellos que prestan servicios para su empleadora, la Comunidad Autónoma. Se trata, por tanto, de un supuesto igual al contemplado en el ATC 154/2014.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Ministerio público solicita que se dicte auto inadmitiendo la cuestión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promueve cuestión de inconstitucionalidad en relación con la disposición adicional vigésima octava, apartado 2 a), de la Ley 11/2010, de 30 de diciembre, de presupuestos generales de la Comunidad Autónoma de Canarias por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(en cursiva)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vigésima octava. Suspensión de pactos y acuerdos sindicales y de artículos del convenio colectivo.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Durante el ejercicio 2011, se suspenden los acuerdos y pactos sindicales firmados en el ámbito del personal funcionario y estatutario, y del laboral, al servicio del sector público de la Comunidad Autónoma de Canarias, en los términos necesarios para la correcta aplicación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III Convenio Colectivo del Personal Laboral de la Comunidad Autónoma de Canarias, se suspenden las siguientes disposiciones para el año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aplicación del artículo 18, relativo al descanso semanal, en cuanto a la compensación con un día de permiso de los festivos no trabajados coincidentes con el descanso semanal…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precepto autonómico, al privar de vigencia a la regulación convencional de un concreto aspecto de la jornada del personal laboral al servicio de la Comunidad Autónoma (las libranzas compensatorias de las fiestas laborales que coinciden con los días de descanso semanal), está legislando en materia laboral, vulnerando con ello el art. 149.1.7 CE que reserva dicha competencia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la cuestión planteada ha de considerarse notoriamente infundada en el significado que a esta noción le viene dando la doctrina de este Tribunal (por todos, AATC 71/2008, de 26 de febrero, FJ 2, y 32/2009, de 27 de enero, FJ 3), que no implica un juicio peyorativo sobre la duda de constitucionalidad que traslada el órgano judicial, pero que procesalmente otorga a este Tribunal un cierto margen de apreciación a la hora de controlar la solidez de la fundamentación de las cuestiones de inconstitucionalidad, realizando un examen preliminar de la prosperabilidad de las mismas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hay que advertir previamente que nuestra doctrina exige, como regla general,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(SSTC 138/2005, de 26 de mayo, FJ 2, y 120/2000, de 10 de mayo, FJ 2). Conforme a dicha doctrina, la introducción ex novo en el Auto de planteamiento de la cuestión de constitucionalidad de un determinado precepto constitucional supone una infracción de los requisitos procesales del art. 35.2 LOTC, únicamente en la medida en que este defecto haya imposibilitado a las partes conocer el contenido de la cuestión para su apreciación 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Algunos de los argumentos o consideraciones del Auto de planteamiento sobre la inconstitucionalidad del precepto autonómico, no se hallaban mencionados, ni siquiera de forma implícita, en la providencia de 27 de junio de 2014, de modo que las partes nada pudieron alegar sobre ellos. Es el caso de las referencias a que el precepto “no engarza con lo dispuesto en el art. 149.1.13 y 156 de la Carta Magna” o que carece de conexión con cualquier finalidad estrictamente retributiva del personal al servicio de las Administraciones públicas, y por tanto con los ingresos y gastos que integran el presupuesto o con la política económica de la que el mismo es instrumento, así como las referencias a una posible vulneración del art. 149.1.18 CE. Estos concretos argumentos o consideraciones no cumplen el requisito previo de la audiencia a las partes y al Ministerio Fiscal y, por tanto, no podrían ser planteadas en el seno de esta cuestión de inconstitucionalidad, que ha de quedar referida exclusivamente a la posible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Circunscrita la duda a la vulneración de la competencia exclusiva estatal en materia de legislación laboral del art. 149.1.7 CE, es posible apreciar que, en realidad, el órgano judicial aduce contra la validez del precepto autonómico cuestionado dos argumentos que plantea sucesivamente.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consiste en que, con anterioridad a la entrada en vigor del Real Decreto-ley 20/2012, no existía norma legal que habilitase para modificar los convenios colectivos, duda de constitucionalidad ya expresamente resuelta en sentido negativo por la doctrina constitucional. Así, el ATC 85/2011, de 7 de junio, FJ 8, señala que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(ibídem; en el mismo sentido, SSTC 177/1988, de 10 de octubre, FJ 4; 171/1989, de 19 de octubre, FJ 2; 92/1994, de 21 de marzo, FJ 2; y 62/2001, de 1 de marzo, FJ 3; ATC 34/2005, de 31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Relacionada con la anterior, el órgano judicial plantea una duda de carácter netamente competencial, al discutir que una Comunidad Autónoma —en el presente caso, Canarias— tenga competencia para aprobar una norma de ese contenido, pues considera que la suspensión de cualesquiera aspectos incluidos en cualquier convenio colectivo, con independencia de su ámbito de aplicación y su contenido, constituye per se legislación laboral, materia que pertenecería exclusivamente a la competencia estatal (art. 149.1.7 CE), ya que los convenios colectivos mejoran las condiciones mínimas fijadas por 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de que el art. 149.1.7 CE reserva al Estado la facultad exclusiva en cuanto a la producción de las normas que disciplinan la materia laboral con carácter general. No obstante, el órgano judicial obvia en su planteamiento que la norma cuestionada no pretende regular con carácter general el régimen de la negociación colectiva o la fuerza vinculante de los convenios, extremos propios de la legislación laboral reservada al Estado, sino que tiene una finalidad mucho más modesta. La disposición cuestionada no se refiere a una regulación laboral general, sino a condiciones concretas reconocidas al personal laboral al servicio de la propia Comunidad Autónoma en una materia —la gestión u ordenación de su propio personal— en la que la Comunidad Autónoma ostenta competencias, de conformidad con el Estatuto de los trabajadores y el Estatuto básico del empleado público. En suma, como pone de manifiesto la Fiscal General del Estado, se trata, efectivamente, de una medida de gestión del propio personal que, en modo alguno, invade o contradice lo dispuesto en la legislación laboral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planteamiento del órgano judicial lleva a un entendimiento prácticamente ilimitado del concepto de “legislación laboral”, pues si éste fuera correcto, sólo el Estado podría suspender o modificar aspectos incluidos en los convenios colectivos suscritos por las Administraciones autonómicas y locales con su propio personal laboral. No parece lógico reconocer a la Administración canaria competencia para concluir convenios colectivos con su personal laboral y negársela para suspenderlos, cuando ello venga requerido por 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norma autonómica no incide sobre la materia “legislación laboral” en el sentido del art. 149.1.7 CE, ya que no se refiere a una regulación laboral general, sino a condiciones concretas de los empleados públicos de la propia Comunidad Autónoma, sin afectar a la estructura básica y general de la normativa social ni a sus categorías nucleares. Tampoco tiene por objeto fijar condiciones de trabajo que alteren los mínimos indisponibles establecidos por la legislación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rechazarse la pretendida vulneración del art. 149.1.7 CE y, consecuentemente, declararse que la presente cuestión de inconstitucionalidad resulta manifiestamente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