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5648-2016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5648-2016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inadmisión de la presente cuestión de inconstitucionalidad,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octubre de 2016 tuvo entrada en el registro general de este Tribunal oficio del Juzgado de Primera Instancia núm. 2 de Gandía por el que se remite, junto con el testimonio del proceso correspondiente (autos de modificación de medidas de divorcio núm. 1919-2015), el Auto de 5 de octubre de 2016 por el que se acuerda plantear cuestión de inconstitucionalidad respecto de los apartados 1 y 3 del art. 6 de la Ley de las Cortes Valencianas 5/2011, de 1 de abril, de relaciones familiares de los hijos e hijas cuyos progenitores no conviven. Se considera por el Juzgado que los referidos apartados del precepto cuestionado, que establecen reglas para la atribución del uso de la vivienda familiar cuando cesa la convivencia de los progenitores y en defecto de pacto entre estos, pueden ser inconstitucionales por contravenir la competencia exclusiva estatal en materia de Derecho civil ex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V.M.Q., demandante en el proceso a quo, instó el 29 de diciembre de 2015 la modificación de las medidas que regulan su divorcio, contenidas en un convenio regulador de 2006 aprobado por la sentencia de divorcio de 23 de febrero de 2006 del antiguo Juzgado de Primera Instancia núm. 6 de Gandía. En lo que afecta a la presente cuestión, en el convenio se acordó la atribución de la vivienda familiar a la exesposa (doña M. P. P. M.), quien viviría allí con las dos hijas del matrimonio, nacidas el 24 de agosto de 2001 y el 29 de octubre de 2004), que quedaban bajo su guarda y custodia, con un régimen de visitas a favor del padre, obligado a pagar las pensiones de alimentos pactadas. El demandante solicitó la reducción del importe de las pensiones de alimentos de las hijas (pretensión ajena a la presente cuestión) y que el uso y disfrute de la vivienda familiar se atribuyese a la exesposa y las hijas hasta que la menor de ellas alcanzase la mayoría de edad y que se fijara a cargo de la exesposa y a favor del demandante una compensación por la pérdida del uso de la vivienda familiar por importe de 250 € mensuales (pretensiones ambas sobre la vivienda que el demandante fundamenta en la Ley de las Cortes Valencianas 5/2011). La demandada se opuso, solicitando la desestimación de la demanda y la confirmación de las medidas inicialmente acordadas; en el acto de la vista reiteró su oposición y solicitó el planteamiento de la cuestión de inconstitucionalidad frente a la Ley de las Cortes Valencianas 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Conclusos los autos para sentencia, el Juzgado de Primera Instancia núm. 2 de Gandía, por providencia de 12 de julio de 2016 y de conformidad con lo dispuesto en el art. 35.2 de la Ley Orgánica del Tribunal Constitucional (LOTC), acordó oír a las partes y al Ministerio Fiscal por el término común de diez días sobre la pertinencia de plantear cuestión de inconstitucionalidad respecto de los apartados 1 y 3 del art. 6 de la Ley de las Cortes Valencianas 5/2011, por entender que los referidos apartados pueden ser inconstitucionales por contravenir la competencia exclusiva estatal en materia de Derecho civil ex art. 149.1.8 CE. Se hace referencia en la providencia a que sobre la Ley de las Cortes Valencianas 5/2011, en su integridad, pende el recurso de inconstitucionalidad núm. 3859-2011. Asimismo se refiere el Juzgado a la STC 82/2016, de 28 de abril, que declaró inconstitucional la Ley 10/2007, de régimen económico matrimonial valenciano, por invadir la competencia estatal del art. 149.1.8 CE, y a la STC 110/2006, de 9 de junio, que declaró inconstitucional la Ley 5/2002, de uniones de hecho formalizadas de la Comunidad Valenciana, por la misma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Evacuado el trámite de audiencia del art. 35.2 LOTC con el resultado que consta en las actuaciones (la demandada se mostró favorable al planteamiento de la cuestión, mientras que el demandante se opuso; el Ministerio Fiscal manifestó que se cumplen los requisitos para plantear la cuestión, sin entrar en el fondo del asunto), por Auto de 5 de octubre de 2016 el Juzgado acordó plantear la presente cuestión de inconstitucionalidad respecto de los apartados 1 y 3 del art. 6 de la Ley de las Cortes Valencianas 5/2011, por su eventual contradicción con el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de la cuestión de inconstitucionalidad,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tras exponer los hechos que han dado lugar al planteamiento de la cuestión de inconstitucionalidad, transcribe literalmente los arts. 163 CE y 35 LOTC, así como los apartados 1 y 3 del art. 6 de la Ley de las Cortes Valencianas 5/2011, sobre los que se plantea la cuestión. Se refiere seguidamente al cumplimiento de los requisitos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primero, señala que los preceptos cuestionados son aplicables al caso, pues en primer lugar, según el art. 2 de la Ley de las Cortes Valencianas 5/2011, esta es de aplicación respecto de los hijos, sujetos a la autoridad parental de sus progenitores, que ostenten la vecindad civil valenciana; siendo así que en este caso las dos hijas del matrimonio son menores de edad, sujetas a la autoridad de sus padres, nacidas y residentes desde su nacimiento en una localidad valenciana, por lo que ostentan la vecindad civil valenciana (art. 14 del Código civil). A ello cabe añadir que, de acuerdo con la disposición transitoria primera de la Ley de las Cortes Valencianas 5/2011 (“Revisión judicial de medidas adoptadas conforme a la legislación anterior”): “a través del procedimiento establecido en la legislación procesal civil para la modificación de medidas definitivas acordadas en un procedimiento de separación, nulidad o divorcio, y a partir de la entrada en vigor de esta ley, se podrán revisar judicialmente las adoptadas conforme a la legislación anterior, cuando alguna de las partes o el Ministerio Fiscal, respecto de casos concretos, soliciten la aplicación de esta norma”. El exesposo ha solicitado, con fundamento en esta Ley autonómica, la modificación —entre otras que no afectan a la presente cuestión— de las medidas referidas al régimen de uso y disfrute de la vivienda familiar, ejercitando dos pretensiones: que el uso y disfrute de la vivienda se atribuya a la exesposa y las hijas hasta que la menor de ellas cumpla 18 años y que se establezca a cargo de la exesposa una compensación a favor del demandante por la pérdida del uso de la vivienda por importe de 250 € mensuales; para su resolución son aplicables los cuestionados apartados 1 y 3 del art. 6 de la Ley de las Cortes Valencianas 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juicio de relevancia, sostiene el Juzgado que el fallo a dictar en el proceso a quo depende de la validez de los cuestionados apartados 1 y 3 del art. 6 de la Ley de las Cortes Valencianas 5/2011; si tales apartados fueran declarados inconstitucionales, las dos pretensiones del demandante referidas al régimen de uso y disfrute de la vivienda familiar habrían de ser desestimadas. Ello es así por cuanto el art. 96 del Código civil, que sería la norma aplicable si aquellos apartados de la Ley autonómica fueran expulsados del ordenamiento, no permitiría fijar compensación económica alguna para el padre por no poder utilizar la vivienda familiar, ni tampoco establecer automáticamente la terminación del uso de la vivienda cuando la menor de las hijas alcance la mayoría de edad (en 2022), conforme resulta de la jurisprudencia del Tribunal Supremo al respecto. Por el contrario, si los cuestionados apartados 1 y 3 del art. 6 de la Ley de las Cortes Valencianas 5/2011 fueran declarados conformes con la Constitución, las pretensiones del demandante podrían ser estimadas en el marco de lo dispuesto en dichos preceptos. La pendencia del recurso de inconstitucionalidad núm. 3859-2011 contra la totalidad de la Ley de las Cortes Valencianas 5/2011 no es óbice para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fondo del asunto, entiende el Juzgado que los apartados 1 y 3 del art. 6 de la Ley de las Cortes Valencianas 5/2011 pueden ser inconstitucionales por contravenir la competencia exclusiva estatal en materia de Derecho civil (art. 149.1.8 CE). Aunque la Ley autonómica se afirme dictada al amparo de la competencia exclusiva que el art. 49.1.2 del Estatuto de Autonomía de la Comunidad Valenciana otorga a la Generalitat en materia de “conservación, desarrollo y modificación del Derecho civil foral valenciano”, de la doctrina constitucional (SSTC 121/1992, 82/2016 y 110/2016) resulta que la Comunidad Valenciana dispone de competencia en materia de legislación civil dentro de los límites del art. 149.1.8 CE; esto significa que la validez de una ley valenciana en una materia civil depende de que la Comunidad Autónoma pueda acreditar la existencia de reglas consuetudinarias que en esa materia concreta existieran en vigor a la entrada en vigor de la Constitución de 1978, como sucedió en el caso de los arrendamientos rústicos (STC 121/1992), o bien otra institución civil diferente a la regulada pero “conexa” con ella, de manera que pueda servir de base para apreciar un “desarrollo” de su Derecho civil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Juzgado que los cuestionados apartados 1 y 3 del art. 6 de la Ley de las Cortes Valencianas 5/2011, de relaciones familiares de los hijos e hijas cuyos progenitores no conviven, pueden ser inconstitucionales, de acuerdo con esa doctrina, por invadir la competencia exclusiva estatal en materia de Derecho civil (art. 149.1.8 CE). Recuerda que esa Ley se encuentra recurrida en su totalidad (recurso de inconstitucionalidad núm. 3859-2011) por el Presidente del Gobierno, por este mismo motivo competencial. La Ley de las Cortes Valencianas 5/2011 regula las consecuencias de la ruptura y cese de convivencia de una pareja (casada o no) con hijos menores de edad; situación que, por la radicalmente diferente realidad social de nuestros días y la de la época en que estuvieron vigentes los fueros valencianos, definitivamente derogados por el Decreto de nueva planta del Reino de Valencia de 29 de junio de 1707, no podía ser objeto de regulación en aquella normativa foral histórica. Tampoco existía un derecho consuetudinario valenciano en esa concreta materia, en vigor a la entrada en vigor de la Constitución de 1978, sino que la regulación era la contenida en los arts. 67 a 74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noviembre de 2016, el Pleno, a propuesta de la Sección Segunda, acordó, a los efectos que determina el art. 37.1 LOTC, oír al Fiscal General del Estado para que, en el plazo de diez días, alegara lo que considerase conveniente sobre la pérdida sobrevenida de objeto de la presente cuestión de inconstitucionalidad, habida cuenta que la STC 192/2016, de 16 de noviembre, estima el recurso de inconstitucionalidad núm. 3859-2011, declarando la inconstitucionalidad y nulidad de la Ley valenciana 5/2011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en este Tribunal el día 2 de enero de 2017, interesando que se acuerde la extinción de esta cuestión de inconstitucionalidad por pérdida sobrevenida de objeto, a la vista de lo resuelto en la STC 192/2016, de 16 de noviembre, que declara inconstitucional y nula en su totalidad la Ley valenciana 5/2011, de relaciones familiares de los hijos e hijas cuyos progenitores no conviven.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Primera Instancia núm. 2 de Gandía plantea, por Auto de 5 de octubre de 2016, una cuestión de inconstitucionalidad respecto de los apartados 1 y 3 del art. 6 de la Ley de las Cortes Valencianas 5/2011, de 1 de abril, de relaciones familiares de los hijos e hijas cuyos progenitores no conviven, por posible vulneración del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núm. 3859-2011 (al que se refiere el propio Auto de planteamiento de la cuestión), interpuesto por el Presidente del Gobierno por este mismo motivo competencial contra la referida Ley de las Cortes Valencianas 5/2011 en su integridad, ha sido resuelto por este Tribunal en la STC 192/2016, de 16 de noviembre (publicada en el “Boletín Oficial del Estado” núm. 311, de 26 de diciembre de 2016), que declara la inconstitucionalidad y nulidad de esta Ley. Ello determina, conforme a reiterada jurisprudencia de este Tribunal (SSTC 387/1993, de 23 de diciembre, FJ único; 72/1997, de 10 de abril, FJ único; 91/1997, de 8 de mayo, FJ único, y AATC 428/2006, de 21 de noviembre, FJ único; 175/2010, de 23 de noviembre, FJ único; 6/2016, de 19 de enero, FJ 5, y 10/2016, de 19 de enero, FJ 5, por todos), la desaparición sobrevenida del objeto de la presente cuestión de inconstitucionalidad, planteada respecto de los apartados 1 y 3 del art. 6 de esa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inadmisión de la presente cuestión de inconstitucionalidad,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de inadmisión dictado en la cuestión de inconstitucionalidad núm. 5648-2016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Tribunal reitero mi discrepancia con la declaración de inconstitucionalidad de la normativa cuestionada en este procedimiento pronunciada en la STC 192/2016, de 16 de noviembre, que es la que ahora sirve de fundamento para declarar la pérdida de objeto de la presente cuestión de inconstitucionalidad. Me remito al Voto particular que formulé a la citada STC 192/2016 para evitar reiteraciones innecesarias.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diecinueve de enero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