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5685-2016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5685-2016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pena privativa de libertad de un año de prisión, y accesoria de privación del derecho de sufragio pasivo durante el tiempo de la condena, impuesta al recurrente en Sentencia de 13 de noviembre de 2015, núm. 749/2015, de la Sala de lo Penal del Tribunal Supremo.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octubre de 2016, la procuradora de los Tribunales doña Laura-Argentina Gómez Molina, en nombre y representación de don César Rodríguez Vázquez, interpuso recurso de amparo, por vulneración de los arts. 17, 24.1 y 25.1 CE, contra el Auto de 21 de julio de 2016 de la Sala de lo Penal del Tribunal Supremo, que desestimó la pretensión de declaración de prescripción del delito por el que el recurrente fue condenado, manteniendo en sus propios términos la Sentencia de la misma Sala, de 13 de noviembre de 2015, núm. 749/2015, que impuso al ahora demandante, como autor de un delito de blanqueo de capitales por imprudencia, sin la concurrencia de circunstancias modificativas de la responsabilidad penal, la pena de un año de prisión, inhabilitación especial para el derecho de sufragio pasivo por el tiempo de la condena y multa de ciento veinte mil euros, con doce días de arresto personal subsidiario por impago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solicitaba por otrosí, ex artículo 56 de la Ley Orgánica del Tribunal Constitucional, la suspensión de la ejecución de la pena impuesta al demandante de amparo, por cuanto podría causar un perjuicio tal que haría perder la finalidad del presente recurso, y sin ocasionar, en cambio, perturbación grave a ningún derecho constitucionalmente protegido a terceros ni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9 de marzo de 2017, y tras admitir el recurso por providencia fechada en el mismo día, acordó la formación de pieza separada para la tramitación del incidente sobre la suspensión solicitada, concediendo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de amparo presentó escrito de alegaciones con fecha 17 de marzo de 2017. Aduce que la pena impuesta es de un año de prisión, por lo que podría perder el amparo su finalidad; que la pena accesoria de inhabilitación especial para el ejercicio del derecho de sufragio pasivo durante el tiempo de la condena debe seguir la suerte de la pena principal, y que la multa impuesta, por su parte, por su elevada cuantía, no podría ser afrontada por el recurrente, pudiendo dar lugar a la ejecución de los embargos trabados sobre su vivienda, lo que causaría un daño de imposible reparación en caso de ser adjudicada en subasta pública a un tercero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30 de marzo de 2017, presentó alegaciones solicitando la concesión de la suspensión de la pena privativa de libertad y de la accesoria de inhabilitación, a cuyo fin transcribe parcialmente el ATC 49/2016, de 29 de febrero, pero oponiéndose, en cambio, a la suspensión de la ejecución de la pena de multa y el pago las costas y también del eventual arresto sustitutorio por insolvencia del condenado, toda vez que del cumplimiento de lo primero no se derivarían perjuicios irreparables y, en cuanto a lo último, resulta imposible valorar la reparabilidad de los perjuicios que pudieran derivarse, pues se ignora incluso si dicho arresto va a llegar a ser cumplido.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en relación a la suspensión de las penas de prisión, recordábamos en el reciente ATC 35/2017, de 27 de febrero, FJ 2, que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tanto, de acuerdo con las tesis del Ministerio Fiscal, concurren los requisitos que nuestra doctrina exige para otorgar la suspensión de la ejecución en cuanto a la pena privativa de libertad, dado que la duración de la pena impuesta —un año de prisión— permite afirmar que su ejecución puede ocasionar al demandante perjuicios irreparables que harían perder su finalidad al recurso de amparo. Resulta por ello procedente decretar la suspensión cautelar en atención a su corta duración, tratando así de evitar que la previsible duración de este amparo pudiera conllevar la inefectividad de un eventual pronunciamiento estimatorio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regla de accesorium sequitur principale, igual suspensión deberá extenderse a la privación del derecho de sufragio pasivo (art. 44 del Código penal: CP) aneja a la privativa de libertad suspensa (por todos ATC 291/2014, de 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conclusión contraria se alcanza, en cambio, respecto del resto de las peticiones, de marcado contenido patrimonial, resultando de aplicación la doctrina de este Tribunal según la cual, como dijéramos recientemente en el mismo Auto transcrito parcialmente en el primer fundamento jurídico, dicho contenido, “no produce(n) daño irreparable o de muy difícil reparación (entre otros, AATC 386/2008, de 15 de diciembre, FJ 3; 156/2009 y 157/2009, ambos de 18 de mayo, FJ 3; 18/2011, de 28 de febrero, FJ 4, y 16/2012, de 30 de enero, FFJJ 2 y 3)…” (ATC 34/2016, FJ 4; en el mismo sentido, ATC 195/2016,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el recurrente no ha logrado fundamentar verosímilmente la imposibilidad de reparación derivada del pago que pretende suspender (por ejemplo, ATC 34/2016, de 15 de febrero, FJ 4), limitándose a realizar una alegación retórica sobre su situación económica, sin acreditación alguna, que por consiguiente no permite contrastar cuál es realmente su patrimonio o los medios o bienes de los que dispone para hacer frente a los importes.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ello, como dijéramos asimismo en el ATC 35/2017, de 27 de febrero, la alegación del recurrente que subraya que podría provocarse la venta en subasta de su vivienda habitual, para proceder con ello al abono, constituye solo una hipótesis. No obstante y si en el futuro se instara una ejecución forzosa contra dicho inmueble y para la fecha no hubiera recaído aun la Sentencia de este amparo, podría solicitarse a este Tribunal una modificación de lo acordado, ex art. 57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incumplimiento de la carga de alegación que pesaba sobre el recurrente, conduce a desestimar su solicitud de suspensión en este último punto.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pena privativa de libertad de un año de prisión, y accesoria de privación del derecho de sufragio pasivo durante el tiempo de la condena, impuesta al recurrente en Sentencia de 13 de noviembre de 2015, núm. 749/2015, de la Sala de lo Penal del Tribunal Supremo.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