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2570-2018, promovido por don Ramón Constantino Arias García, contra el auto del Juzgado de Primera Instancia núm. 3 de Siero de 16 de marzo de 2018, que desestimó el incidente de nulidad de actuaciones promovido contra el auto de 10 de noviembre de 2015, pronunciado en el procedimiento de ejecución de títulos no judiciales núm. 151-2015. Ha sido parte la entidad Unicaja Banco, S.A., representada por el procurador de los tribunales don Javier Álvarez Díez, bajo la dirección de la letrada doña Marta Junquera Sánchez-Molina.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Ramón Constantino Arias García, representado por el procurador de los tribunales don Benigno González González y bajo la dirección del letrado don Jaime Edelmiro Carvajal González, interpuso recurso de amparo contra las resoluciones judiciales que se mencionan en el encabezamiento de esta sentencia mediante escrito registrado en este Tribunal el 10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14 de octubre de 2015, la entidad Banco de Caja de España de Inversiones, Salamanca y Soria, S.A.U., presentó demanda de ejecución de título no judicial contra el recurrente y otras dos personas como deudores de un préstamo por el impago de determinadas cuotas, siendo tramitado con el núm. 151-2015 por el Juzgado de Primera Instancia núm. 3 de Siero, que dictó auto de 10 de noviembre de 2015 despachando la ejecución. El auto no fue recurrido y el demandante de amparo tampoco se opuso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mediante escrito de 28 de noviembre de 2017, solicitó la nulidad de actuaciones alegando la vulneración del derecho a la tutela judicial efectiva (art. 24.1 CE) y de la normativa comunitaria, con base en el Directiva 91/13/CEE, por no haberse hecho aplicación de la jurisprudencia sobre la revisión de oficio de cláusulas abusivas en cualquier fase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solicitud fue denegada por auto de 16 de marzo de 2018 argumentando que el auto despachando la ejecución se dictó de forma correcta sin que hubiera sido recurrido, por lo que ganó firmeza, y tampoco se ejercitó en aquel momento oposición a la ejecución ni se alegó la existencia de ninguna cláusula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que se otorgue el amparo por vulneración del derecho a la tutela judicial efectiva (art. 24.1 CE), en relación con los arts. 10.2, 93 y 94 CE, declarándose la nulidad de la resolución impugnada con retroacción de actuaciones para que se verifique un control judicial de oficio de la eventual abusividad de las cláusulas del contrato de préstamo que dio lugar al procedimiento de ejecución, con fundamento en que la decisión judicial de negarse a realizar dicho control por preclusión del plazo es contraria a la jurisprudencia del Tribunal de Justicia de la Unión Europea en materia de cláusulas abusivas, que obliga a los tribunales a examinar de oficio y en cualquier momento del proceso la abusividad de las cláusulas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sendas providencias de 15 de julio de 2019, acordó la admisión a trámite del presente recurso, apreciando que concurre en el mismo una especial trascendencia constitucional [art. 50.1 Ley Orgánica del Tribunal Constitucional (LOTC)] porque el asunto suscitado transciende el caso concreto porque plantea una cuestión jurídica de relevante y general repercusión social o económica [STC 155/2009, FJ 2 g)]; dirigir atenta comunicación al órgano judicial para que remita certificación o fotocopia adverada de las actuaciones y emplazamiento para que puedan comparecen en los recursos de amparo quienes hubieran sido parte en el procedimiento; y la formación de pieza separada para la tramitación del incidente sobre la suspensión solicitada, que fue denegada por ATC 97/2019, de 16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26 de septiembre de 2019, acordó tener por personada a la entidad Unicaja Banco, S.A., representada por el procurador de los tribunales don Javier Álvarez Díez,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23 de octubre de 2019, interesa que se estime el recurso por vulneración del derecho a la tutela judicial efectiva (art. 24.1 CE) anulándose el auto de 16 de marzo de 2018 con retroacción de actuaciones. Expone que la cuestión a dilucidar no es el carácter abusivo o del clausulado del contrato a ejecutar, sino si el órgano judicial ha actuado correctamente al denegar el examen de esa condición por considerar la pretensión extemporánea, vulnerando así el artículo 24.1 CE. Tras la transcripción de diferentes fundamentos de la STJUE de 26 de enero de 2017, el fiscal concluye que el juzgado ha desoído la doctrina allí dictada al apoyar su decisión de desestimar el incidente de nulidad de actuaciones en el efecto preclusivo de la posible oposición y en el carácter inatacable que acompaña al auto despachando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21 de octubre de 2019, solicita que se desestime el recurso, argumentando que ha sido la propia conducta del recurrente no oponiéndose a la ejecución ni alegando en su momento la abusividad de las cláusulas la que ha motivado la preclusión de ese análisis, sin que pueda emprenderse de oficio ni darse eficacia retroactiva a la jurisprudencia del Tribunal de Justicia de la Unión Europea en la materia. Igualmente, destaca como falta de diligencia del recurrente de amparo que se dejara transcurrir más de un año desde la STJUE de 26 de enero de 2017 hasta que se instó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presentó sus alegaciones mediante escrito registrado el 4 de noviembre de 2019 ratificándose en las formuladas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junio de 2020,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jurisprudencia establecida en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vulnera el derecho a la tutela judicial efectiva del recurrente (art. 24.1 CE) la decisión judicial adoptada en el procedimiento de ejecución de títulos no judiciales de rechazar la petición, amparada en la aplicación de la normativa comunitaria y en la jurisprudencia que la interpreta, de analizar la abusividad de determinadas cláusulas del contrato de préstamo cuya ejecución se instaba, con el argumento de que el auto despachando la ejecución se dictó de forma correcta sin que hubiera sido recurrido, por lo que ganó firmeza, y tampoco se ejercitó en aquel momento oposición a la ejecución ni se alegó la existencia de ninguna cláusula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objeto es, en lo fundamental, el mismo que el resuelto por este Tribunal en la STC 31/2019, de 28 de febrero. En aquel caso también se había solicitado el control del carácter abusivo de un préstamo al amparo del Derecho de la Unión Europea (Directiva 93/13/CEE, del Consejo, de 5 de abril, sobre cláusulas abusivas en los contratos celebrados con consumidores y STJUE de 26 de enero de 2017, C-421/14, asunto Banco Primus, S. A., v. Jesús Gutiérrez García), que había sido rechazado porque el recurrente no se opuso en el plazo establecido a la ejecución alegando la abusividad y porque la ejecución se despachó cumpliendo todos los requisitos procesales. Pues bien, la citada STC 31/2019, declaró que, de acuerdo con la Directiva 93/13/CEE, conforme a la interpretación realizada por parte del Tribunal de Justicia de la Unión Europea (sentencia de 26 de enero de 2017),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(FJ 6). De ese modo, la STC 31/2019 establece (i) que no cabe considerar que el plazo para denunciar la existencia de cláusulas abusivas haya precluido solo porque la parte ejecutada no formulase oposición a la ejecución en el plazo de diez días previsto en el art. 557, en relación con el art. 556, ambos de la Ley de enjuiciamiento civil (FJ 6); y (ii) que “no consta en ningún apartado del auto despachando la ejecución que se haya producido un examen del clausulado contractual”, sin que pueda entenderse realizado y justificado con la simple afirmación de que la demanda ejecutiva “cumple los requisitos establecidos en el artículo 685 de la LEC [Ley de enjuiciamiento civil]” (FJ 8). Por ello concluye “que el juzgado vulneró el derecho fundamental a la tutela judicial efectiva (art. 24.1 CE) con su inmotivada contestación acerca de la existencia de un control de la cláusula previo a la denuncia —única excepción contemplada por el Tribunal de Justicia de la Unión Europea para excluir, de haberse dictado resolución firme, un examen posterior—, pues ‘mal se puede realizar un control —ni siquiera externo— de lo que carece de un razonamiento expreso’”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tomando en consideración que también la respuesta judicial para denegar hacer un control de la abusividad del clausulado del contrato cuya ejecución había dado lugar al procedimiento de ejecución de títulos judiciales fue el carácter preclusivo del plazo legal para realizar la oposición a la ejecución y la firmeza del auto despachando la ejecución, debe concluirse, por las mismas razones expuestas en la STC 31/2019, que se ha vulnerado el derecho a la tutela judicial (art. 24.1 CE). En este supuesto, al igual que ocurrió en el enjuiciado por la STC 31/2019, el órgano judicial efectuó una interpretación irrazonable y arbitraria de la norma aplicada en el proceso porque por su propia, autónoma y exclusiva decisión prescindió de la interpretación del Derecho europeo efectuada por el Tribunal de Justicia de la Unión Europea, que es el único órgano competente para hacerlo con carácter vinculante.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Ramón Constantino Arias García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del Juzgado de Primera Instancia núm. 3 de Siero de 16 de marzo de 2018, pronunciado en el procedimiento de ejecución de títulos no judiciales núm. 151-2015.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citada resolución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2570-2018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2570-2018, el cual a mi juicio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han quedado detalladamente expuestas en el voto particular formulado a la sentencia 31/2019, de 28 de febrero, que resolvió una demanda de amparo sustancialmente idéntica a la presente, al que por tanto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quince de junio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