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52/95, interpuesto por doña Ana Icardo García, representada por el Procurador de los Tribunales don José Luis Barneto Arnáiz y bajo la dirección del Letrado don Miguel R. Mancebo Monge, frente a la Sentencia de la Sección Sexta de la Sala Tercera del Tribunal Supremo, de 17 de noviembre de 1994, recaída sobre el recurso contencioso-administrativo núm. 206/90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7 de enero de 1995, doña Ana Icardo García, bajo la representación procesal del Procurador de los Tribunales Sr. Barneto Arnáiz, interpuso demanda de amparo constitucional contra la Sentencia de la Sala Tercera del Tribunal Supremo (Sección Sexta), de 17 de noviembre de 1994, recaída en el recurso contencioso- administrativo núm. 206/90,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5 de julio de 1988, esto es, un año y un día después de la fecha de la publicación de la Sentencia, aunque dos días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su Sentencia de 17 de noviembre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Cuarta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1997, la Sala acordó señalar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núm.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