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3928/94, interpuesto por don José María Castillo Sanmartín, representado por la Procuradora de los Tribunales doña Sofía Pereda Gil, luego sustituida por la Procuradora doña Belén Aroca Flórez, y con la asistencia letrada de don Isidro Díaz de Bustamante y Terminel,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 de diciembre de 1994, registrado en este Tribunal el día 7 de diciembre, la Procuradora de los Tribunales doña Sofía Pereda Gil interpuso, en nombre y representación de don José María Castillo, el recurso de amparo del que se hace mérito en el encabezamiento, y en la demanda nos cuenta que en el Juzgado Central de Instrucción núm. 5 de la Audiencia Nacional se siguió el sumario núm. 8/1992 contra el hoy recurrente y otros por distintos delitos (tráfico de drogas, contrabando, receptación, falsedad, delito monetario, etc.), que una vez concluido fue remitido a la Sección Segunda de la Audiencia Nacional (rollo de Sala núm. 12/92). En la fase de apertura del juicio oral la defensa del hoy recurrente presentó escrito de calificación y proposición de prueba, en el que solicitó, entre otras,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Celebrado el juicio oral la Sección Segunda de la Audiencia Nacional dictó Sentencia el 26 de junio de 1993, en la que condenó al hoy recurrente como cómplice de un delito contra la salud pública (tráfico de drogas) a las penas de cuatro años, dos meses y un día de prisión menor y multa de 50.000.000 pesetas, con dos meses de arresto sustitutorio en caso de impago. Contra dicha Sentencia interpuso el hoy demandante recurso de casación ante la Sala Segunda del Tribunal Supremo (recurso núm. 1265/93). En Sentencia de 31 de octubre de 1994 el Tribunal Supremo desestimó todos los motivos del recurso del recurrente y estimó el recurso interpuesto por el Ministerio Fiscal en relación con la condena del hoy recurrente, y apreció la concurrencia de la agravación prevista en el art. 344 bis b) del Código Penal, Texto Refundido de 1973, imponiéndole la pena de diez años y un día de prisión mayor y multa de 50.000.000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tutela judicial efectiva sin indefensión (art. 24.1 CE), a utilizar los medios de prueba pertinentes para la defensa (art. 24.2 CE) y a un derecho a un proceso con todas las garantías (art. 24.2 CE), aduciéndose que las citadas infracciones constitucionales deben tratarse de forma conjunta, pues todas ellas tienen en su origen en la valoración como prueba de las intervenciones telefónicas ordenadas por el Juez Instructor en la fase de instrucción sumarial. En primer término se denuncia que las cintas con las grabaciones telefónicas no fueron reproducidas en el juicio oral, a pesar de que el recurrente así lo solicitó expresamente en el escrito de calificación provisional, ni tampoco fueron leídas en el juicio oral ninguna de las transcripciones de las conversaciones del recurrente, por lo que la única prueba de cargo en la que se basa la condena no fue reproducida en el juicio oral. Al respecto se razona que la Sala, en un principio, señaló la imposibilidad de practicar la audición solicitada porque las bobinas originales no habían sido incorporadas a los autos, pero, posteriormente, una vez recibidas, nada comunicó a las partes ni consideró necesaria su reproducción. En consecuencia, no existió comportamiento omisivo por parte del recurrente, como ha entendido el Tribunal Supremo, pues el único comportamiento omisivo fue el de la Sala, que mantuvo en secreto la recepción de las bobinas con las grabaciones e impidió así que las partes pudieran solicitar de nuevo su audición en el juicio. </w:t>
      </w:r>
    </w:p>
    <w:p w:rsidRPr="00C21FFE" w:rsidR="00F31FAF" w:rsidRDefault="00356547">
      <w:pPr>
        <w:rPr/>
      </w:pPr>
      <w:r w:rsidRPr="&lt;w:rPr xmlns:w=&quot;http://schemas.openxmlformats.org/wordprocessingml/2006/main&quot;&gt;&lt;w:lang w:val=&quot;es-ES_tradnl&quot; /&gt;&lt;/w:rPr&gt;">
        <w:rPr/>
        <w:t xml:space="preserve">En segundo término, la lesión también se imputa a la Sentencia de casación, que desestimó el motivo del recurso en el que se planteaba la queja referida a la no audición de las grabaciones telefónicas por la "falta de formal protesta (en el juicio oral) por la denegación de la misma"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estos razonamientos pueden entenderse conformes con el derecho fundamental a la tutela judicial efectiva y a utilizar los medios de prueba pertinentes para la defensa, pues como "nada significativa" la prueba de audición en el acto de la vista oral supone desconocer los principios de publicidad, concentración, inmediación, contradicción e igualdad de defensa. </w:t>
      </w:r>
    </w:p>
    <w:p w:rsidRPr="00C21FFE" w:rsidR="00F31FAF" w:rsidRDefault="00356547">
      <w:pPr>
        <w:rPr/>
      </w:pPr>
      <w:r w:rsidRPr="&lt;w:rPr xmlns:w=&quot;http://schemas.openxmlformats.org/wordprocessingml/2006/main&quot;&gt;&lt;w:lang w:val=&quot;es-ES_tradnl&quot; /&gt;&lt;/w:rPr&gt;">
        <w:rPr/>
        <w:t xml:space="preserve">Por otra parte también se alega la infracción del derecho a la tutela judicial efectiva (art. 24.1 CE) por incongruencia extra petitum de la sentencia de casación, en relación con el principio acusatorio. La lesión se imputa a la sentencia de casación del Tribunal Supremo por imponer una pena superior a la pedida por el Ministerio Fiscal, que solicitó ocho años y un día de prisión mayor y multa de 110 millones de pesetas, y en cambio el Tribunal Supremo impuso diez años de prisión mayor y multa de 105 millones, incurriendo en reformatio in peius y vulnerando el principio acusatorio. En atención a lo expuesto el recurrente solicitó el otorgamiento del amparo y la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8/1992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a lo que no accedió la Sección en providencia de 28 de septiembre de 1995,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31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Por providencia de 18 de enero de 1996 la Sección,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a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presentado el 27 de febrero de 1996, interesó la denegación del amparo por no resultar del proceso la lesión de los derechos fundamentales que sirven de apoyo a la demanda. En efecto, luego de exponer los hechos de los que trae causa el recurso,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13790, seguido contra José Ramón Prado Bugallo, por posible delito de tráfico de drogas). Con posterioridad se adoptan otras intervenciones relativas a personas concretas sobre números telefónicos bien determinados, por plazo cierto (generalmente de un mes), que son objeto de prorroga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requisitos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Por último tampoco cabe apreciar infracción del principio acusatorio, ni incongruencia alguna, por el hecho de que el Fiscal solicitara una pena de ocho años y un día de prisión y la Sala impusiera diez años y un día. En concreto razona que en el presente caso, como consecuencia de la aplicación del tipo agravado del art. 344 bis b) CP, tanto la pena solicitada por el fiscal como la impuesta por el Tribunal Supremo son procedentes desde el punto de vista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no presentó escrito de alegaciones en relación con la posible lesión del art. 25.1 CE, puesta de manifiesto en la providencia de 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7 de marzo de 1997 la Procuradora de los Tribunales doña Belén Aroca Flórez, en representación del recurrente, solicitó que se entendiesen con ella las sucesivas actuaciones, bajo la dirección letrada de don Miguel Angel Vázquez Riera. Una vez acreditada la representación, la Sección, por providencia de 27 de mayo de 1997, tuvo por personada y parte en el procedimiento a la citada Procuradora, en sustitución de la Procuradora doña Sofía Pereda Gil,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núm. 5, y dos más, pronunciadas el 31 de octubre de 1994 en casación por la Sala de lo Penal del Tribunal Supremo, condenando al demandante como autor de un delito contra la salud pública (tráfico de drogas). En la demanda se alega la vulneración de los derechos a obtener la tutela judicial efectiva, a la presunción de inocencia, a utilizar los medios de prueba pertinentes para la defensa, así como del principio acusatorio (art.  24.1 y 2 CE). El Ministerio Fiscal, por el contrario, pide la desestimación del recurso por entender que ninguna de las quejas y alegaciones contenidas en la demanda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unos días. Todas ellas enjuician aspectos constitucionales comunes por incidir en un único proceso (sumario núm. 8/92 instruido por el Juez Central de Instrucción núm. 5, rollo de Sala núm. 12/92 y recurso de casación núm. 1265/93), y contemplar unas mismas Sentencias,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 los mismos linderos genéricos, aunque con propia individualidad pero, a su vez, vinculado el tema de las intervenciones telefónicas, se reprocha una falta de motivación suficiente en la Sentencia que llevó a la condena del agraviado como cómplice de un delito contra la salud pública en su modalidad de tráfico de drogas. Sin embargo la mera lectura de los folios 51 y 74 de aquélla pone de manifiesto que allí se da una causalización de la prueba para guiar la convicción de la Sala juzgadora sobre la base de tales intervenciones, transcritas en el sumario e identificadas por un perito como correspondientes a la voz del luego condenado. A este respecto conviene recordar que la motivación no incluye, ni tiene por qué incluir, respuesta a todos y cada uno de los alegatos de las partes, bastando con que contenga las razones jurídicas que conducen a la decisión expuesta con una ilación lógica.</w:t>
      </w:r>
    </w:p>
    <w:p w:rsidRPr="00C21FFE" w:rsidR="00F31FAF" w:rsidRDefault="00356547">
      <w:pPr>
        <w:rPr/>
      </w:pPr>
      <w:r w:rsidRPr="&lt;w:rPr xmlns:w=&quot;http://schemas.openxmlformats.org/wordprocessingml/2006/main&quot;&gt;&lt;w:lang w:val=&quot;es-ES_tradnl&quot; /&gt;&lt;/w:rPr&gt;">
        <w:rPr/>
        <w:t xml:space="preserve">Desde otra perspectiva, pero íntimamente unida a la precedente, se nos denuncia la forma irregular, según se dice, en que el resultado de dichas intervenciones telefónicas se incorporó a las actuaciones judiciales y se alega, por una parte, que las grabaciones y transcripciones de las mismas se hicieron sin el debido control judicial y, de otra parte, que las grabaciones no fueron reproducidas en el juicio oral, pues no fueron oídas las originales ni fueron leídas sus transcripciones. Ello supondría la infracción del derecho a utilizar los medios de prueba pertinentes para la defensa, y a la presunción de inocencia, pues la audición de las cintas o bobinas originales fue solicitada como prueba en el escrito de calificación provisional y su no practica sólo puede ser imputable a la Audiencia Nacional, que en principio señaló la imposibilidad de llevarla a efecto porque las grabaciones originales no habían sido incorporadas a las actuaciones y posteriormente, una vez recibidas las grabaciones al inicio del juicio, nada comunicó a las partes.  Aquí entran en juego las consideraciones que, sobre el tema, contienen las SSTC 236/1999 y 237/1999. Ahora bien, la lectura de las sentencias recurridas y el examen de las actuaciones judiciales remitidas permiten anticipar que ninguna de las infracciones constitucionales denunciadas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primer lugar conviene traer a la memoria que en las actuaciones constan las correspondientes diligencias de recepción de las cintas con las grabaciones, así como las diligencias de constatación por el Secretario Judicial entre las cintas grabadas y las transcripciones de las mismas (folios 313, 369, 431, 433, 473, 487, 494, 516, 539, 605 y 706 del sumario núm. 8/92). En este sentido, como se afirma en la Sentencia de casación, todas las grabaciones telefónicas aparecen transcritas, a excepción de los supuestos, especificados, en los que no se hizo la grabación, no existió conversación en sentido estricto o lo grabado carecía de interés para la investigación (FJ 12).</w:t>
      </w:r>
    </w:p>
    <w:p w:rsidRPr="00C21FFE" w:rsidR="00F31FAF" w:rsidRDefault="00356547">
      <w:pPr>
        <w:rPr/>
      </w:pPr>
      <w:r w:rsidRPr="&lt;w:rPr xmlns:w=&quot;http://schemas.openxmlformats.org/wordprocessingml/2006/main&quot;&gt;&lt;w:lang w:val=&quot;es-ES_tradnl&quot; /&gt;&lt;/w:rPr&gt;">
        <w:rPr/>
        <w:t xml:space="preserve">Por otra parte ninguna relevancia tiene sobre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En consecuencia la valoración y apreciación como prueba de las grabaciones telefónicas no supone violación alguna del derecho a un proceso con todas las garantías, por tratarse de pruebas lícitas, ni la condena basada, entre otras pruebas, en dichas grabaciones, infringe el derecho a la presunción constitucional de inocencia.  En este sentido en la sentencia de instancia se especifican todas y cada una de las pruebas valoradas (declaraciones de los procesados, transcripciones de las grabaciones telefónicas, prueba testifical y pericial ), así como el alcance incriminador de las mismas, por lo que resulta evidente que la queja del recurrente se reduce pura y simplemente a su discrepancia con la valoración y apreciación que de las pruebas practicadas han hecho razonada y motivadamente los Tribunales de la jurisdicción penal. Por ello es preciso recordar, una vez más, que el recurso de amparo no es una tercera instancia y que no corresponde a este Tribunal revisar la valoración y apreciación que de las pruebas practicadas hacen los órganos judiciales una vez verificada, como ocurre en le presente caso, la existencia de actividad probatoria respecto de los hechos objeto de la condena y de la participación del condenado en los mismos (entre otras, SSTC 17/1984, de 7 de febrero, 177/1987, de 10 de noviembre, 150/1989, de 25 de septiembre, 82/1992, de 28 de mayo, 79/1994, de 14 de marzo, y 82/1995, de 5 de junio).</w:t>
      </w:r>
    </w:p>
    <w:p w:rsidRPr="00C21FFE" w:rsidR="00F31FAF" w:rsidRDefault="00356547">
      <w:pPr>
        <w:rPr/>
      </w:pPr>
      <w:r w:rsidRPr="&lt;w:rPr xmlns:w=&quot;http://schemas.openxmlformats.org/wordprocessingml/2006/main&quot;&gt;&lt;w:lang w:val=&quot;es-ES_tradnl&quot; /&gt;&lt;/w:rPr&gt;">
        <w:rPr/>
        <w:t xml:space="preserve">En consecuencia la falta de audición de las grabaciones tampoco provoca indefensión alguna para el recurrente ni infringe su derecho a utilizar los medios de prueba pertinentes para la defensa. No se olvide que, ante todo, contra la decisión de la Audiencia Nacional (Auto de 14 de abril de 1993) denegando la prueba consistente en la audición de las cintas, propuesta por la defensa en su escrito de calificación provisional, quien hoy se siente agraviado no formuló la oportuna protesta como presupuesto para un posterior recurso, tal y como exige expresamente el art. 659 LECrim., siendo esta una de las razones por las que el Tribunal Supremo rechazó el motivo de casación donde luego denunció la falta de audición de las cintas. En segundo término, aunque la Audiencia en un principio denegara tal prueba por las dificultades técnicas que la misma conllevaba, también lo hizo por considerarla, no sólo innecesaria, al constar su contenido transcrito y legalizado por el Juzgado (Auto de 14 de abril de 1993), sino también inoportuna, porque "su número y considerable capacidad de archivo, ... hubiera llevado una dilación ...  manifiesta y perjudicial de las sesiones, circunstancia verdaderamente impeditiva de una celebración normal" (FJ 3 de la Sentencia de instancia). 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 168/1991, de 19 de julio, 211/1991, de 11 de noviembre, 233/1992, de 19 de octubre,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233/1992; 351/1993; y 131/1995).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-ni siquiera las correspondientes a las conversaciones tenidas en lengua o idioma distinto al castellano-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que se invoca e incurriendo en reformatio in peius. Nada mejor que traer aquí, en lo pertinente, por ser idéntico el planteamiento, la respuesta que le dio el Pleno en su STC 59/2000, en cuya virtud, expuesta así la incógnita, conviene al caso averiguar ante todo si tal pretensión merece un tratamiento en esta sede por su contenido. La respuesta no parece dudosa aquí y ahora por encararse el supuesto de una Sentencia que, dando lugar a la casación, impone pena de prisión superior a la pedida por los acusadores en la causa, sin explicación alguna, aceptando el motivo esgrimido como fundamento del recurso y compartiendo, no sólo la misma calificación jurídica del delito sino la participación en él del condenado como cómplice a quien la Audiencia le había impuesto 4 años dos meses y un día de prisión mayor. No parece que sea necesario justificar la incidencia negativa y la pesadumbre que sobre la libertad personal del así condenado haya podido tener y tenga, si no se le pusiera remedio a tiempo, ese sobredicho incremento de dos años de reclusión sobre los correspondientes, según la acusación, ocho años y un día,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aquella, y para casar la que dictó la Audiencia Nacional, el Tribunal Supremo explica concisa pero expresivamente las razones que le llevan a dar la razón al Fiscal para calificarle como cómplice, y apreciar que concurre la circunstancia agravante incorporada al tipo,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la Sentencia impugnada acoge, en primer lugar, el motivo fundado en la infracción de Ley alegado por el Fiscal en su recurso de casación, por cuya virtud en la actuación del condenado por la Audiencia Nacional como cómplice de un delito contra la salud pública en su modalidad de tráfico de drogas concurría la circunstancia agravatoria que configura los tipos incluidos en los arts. 344 bis a) y b) del Código Penal. En tal sentido el Tribunal Supremo consideró, sobre la base del relato de hechos probados, que este acusado contrató un arrendamiento de una nave en Ajalvir y se hizo cargo de las llaves, "que dejó en el piso de la calle Alfonso XIII nº 27, ocupado por Prado Bugallo y otros procesados, y en la precitada nave fue intervenido un remolque de camión, matrícula V-1052-BW, matrícula roja de remolque V-03891- R, en cuya techumbre se apreciaron veinticuatro compartimentos de idónea habitación para transporte camuflado. De dicha nave salió el vehículo Seat Ibiza, matrícula M-4706-JX, que sería conducido por la coprocesada Isabel Cristina Osorio Ramírez y donde se ocuparon los 113.160 gramos de clorhidrato de cocaína".</w:t>
      </w:r>
    </w:p>
    <w:p w:rsidRPr="00C21FFE" w:rsidR="00F31FAF" w:rsidRDefault="00356547">
      <w:pPr>
        <w:rPr/>
      </w:pPr>
      <w:r w:rsidRPr="&lt;w:rPr xmlns:w=&quot;http://schemas.openxmlformats.org/wordprocessingml/2006/main&quot;&gt;&lt;w:lang w:val=&quot;es-ES_tradnl&quot; /&gt;&lt;/w:rPr&gt;">
        <w:rPr/>
        <w:t xml:space="preserve">En tal sentido la misma Sentencia da la razón al Fiscal, explicando que, por las mismas razones expuestas en otro lugar de la Sentencia, el tráfico de 113.160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insiste en pedir para el acusado la pena de ocho años y un día de prisión mayor,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7 que, según dice, se ha de sustituir por el siguiente: "Se condena al procesado José María Castillo Sanmartín, como cómplice de un delito contra la salud pública, en su modalidad de tráfico de drogas, ya definido en los artículos 344, 344 bis a), 3º y 6º y 344 bis b), sin la concurrencia de circunstancias modificativas de la responsabilidad criminal a la pena de diez años y un día de prisión mayor y multa de ciento cinco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de la que había sido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primera Sentencia del Tribunal Supremo, en la parte que aquí importa, ofrece como hemos visto con suficiente claridad, aun cuando concisamente, las razones que tuvo la Sala para dar juego a la "extrema gravedad" como integrante del tipo penal, según venía propugnando el Fiscal.  Sin embargo, una vez sentadas tales premisas, necesarias pero no suficientes, la Sala impone en la segunda Sentencia directamente la pena de diez años y un día, añadiendo dos a los ocho y un día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cuales fueran las razones que la justificaran. Obrando así es forzoso concluir, por tanto, que se ha vulnerado el derecho del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José María Castillo Sanmartín,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 su adhesión don Guillermo Jiménez Sánchez, Magistrados ambos del Tribunal Constitucional, a la Sentencia dictada por la Sala y recaída en el recurso de amparo núm. 3928/94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Bastaría una remisión a los Votos particulares ya formulados a la STC 59/2000, de 2 de marzo, dictada por el Pleno y a la que hoy mismo ha pronunciado esta misma Sala, estando así a lo ya dicho en ellos, para dejar a salvo nuestro criterio en este caso concreto. Sin embargo, una elemental cortesía forense que a su vez, conecta con el deber constitucional de explicar a cada interesado, individualmente, uno por uno, las razones de nuestra decisión, deber que nos alcanza también, no obstante su localización en el Título VI donde se configura el Poder Judicial, nos lleva a transcribir aquí y ahora el texto completo de esta opinión discrepante o concurrente, según se mire. En tal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2º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794.3º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3ª del art. 794... es también la más acorde con los fines de 'lograr en el seno del proceso penal...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más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el condenado,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Sólo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veintisiete de marzo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