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abril de 1986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378-1983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378/1983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Por lo expuesto, la Sección acuerda aprobar, en todas sus partidas, la tasación de costas de 18 de septiembre pasado y otorgar a la representación demandante un plazo de diez días para que justifique haber hecho efectivas a sus titulares las minutas de los Letrados señores García y del Olmo, partidas 1.ª y 3.ª; y para que abone en este Tribunal el importe de las partidas 2.ª y 4.ª de la tasación aprobada.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Todo ello bajo apercibimiento de procederse en otro caso a su exacción por la vía de apremio.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Ante este Tribunal se siguió el presente recurso de amparo a instancia de doña María Teresa Calvo Leonor y otras personas contra Sentencia de la Sección Primera de la Sala de lo Contencioso-Administrativo de la Audiencia Nacional. El recurso fue resuelto por Sentencia de 26 de marzo de 1985 que condenó a la parte recurrente al pago de las costas.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A petición de parte, en 18 de septiembre de 1985 se practicó tasación de costas que fue notificada a las partes y que contenía las siguientes partidas: 1.ª Honorarios del Abogado de los demandados don Federico García y García Santamaría según minuta, 350.000 pesetas; 2.ª Honorarios del Abogado del Estado según minuta, 50.000 pesetas; 3.ª Honorarios del Abogado codemandado don Félix del Olmo Pastor, 110.000 pesetas; 4.ª Impuestos sobre Actos Jurídicos Documentados, 6.480 pesetas.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De las referidas partidas fueron impugnadas las tres primeras; la primera de ellas por excesiva; la segunda por improcedente, y la tercera, asimismo, por improcedente, alegándose que el señor Del Olmo no es Abogado ejerciente; alternativamente, la representación recurrente impugnaba las dos referidas minutas también por excesivas.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Sobre la impugnación formularon los Letrados impugnados las alegaciones a que se refiere el art. 427 de la Ley de Enjuiciamiento Civil, manteniendo todos la conformidad a Derecho de sus minutas de honorarios.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Tras de lo cual, y conforme al mismo precepto procesal, se emitió dictamen por el Colegio de Abogados de Madrid, que ha sido favorable a la aprobación de las minutas de los señores García y del Olmo.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Unico.  La impugnación por excesiva de la minuta del Letrado señor García y García Santamaría se remite a una valoración comparativa con relación a otros procesos de este Tribunal y a la consideración de que no es el presente un asunto complejo.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Y, ciertamente, puede decirse que a una sencilla resultancia final se ha llegado desde la inicial complejidad aparente aportada por la demanda, en buena parte con la colaboración del Letrado cuyos honorarios se impugnan y que se estiman razonablemente proporcionados al trabajo efectuado.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En cuanto a la minuta del Letrado señor del Olmo, no es de estimar la afirmación de que no es valorable el trabajo del Abogado que se defiende a sí mismo, sea o no ejerciente, aunque el del codemandado lo es.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Y en cuanto a los honorarios del Letrado del Estado, los más reducidos de cuantos se han incluido en la tasación, se estiman ajustados a Derecho cualquiera que sea la perspectiva desde la que se aborde su valoración.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Por lo expuesto, la Sección acuerda aprobar, en todas sus partidas, la tasación de costas de 18 de septiembre pasado y otorgar a la representación demandante un plazo de diez días para que justifique haber hecho efectivas a sus titulares las minutas de los Letrados señores García y del Olmo, partidas 1.ª y 3.ª; y para que abone en este Tribunal el importe de las partidas 2.ª y 4.ª de la tasación aprobada.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Todo ello bajo apercibimiento de procederse en otro caso a su exacción por la vía de apremio.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nueve de abril de mil novecientos ochenta y seis.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