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junio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1444-1998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1.444/1998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Sala acuerda suspender la ejecución de las Sentencias recurridas en lo que se refiere a la pena de inhabilitación especial, manteniendo su ejecutividad respecto del pronunciamiento sobre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Argimiro Vázquez Guillén, en nombre del recurrente, don José Castro Álvarez, y mediante escrito presentado el 28 de marzo de 1998, interpuso recurso de amparo contra la Sentencia que la Sección Cuarta de la Audiencia Provincial de Pontevedra dictó el 29 de noviembre de 1996 por la que le condenó, como autor de un delito consistente en impedir el ejercicio de los derechos cívicos (art. 542 C. Penal), a la pena de un año de inhabilitación especial para empleo o cargo público, así como al abono de las costas procesales, incluidas las de la acusación particular, sentencia que fue confirmada en. casación por la que la Sala Segunda del Tribunal Supremo pronunció el 24 de febrero de 1998. </w:t>
      </w:r>
    </w:p>
    <w:p w:rsidRPr="00C21FFE" w:rsidR="00AD51A7" w:rsidRDefault="00AD51A7">
      <w:pPr>
        <w:rPr/>
      </w:pPr>
      <w:r w:rsidRPr="&lt;w:rPr xmlns:w=&quot;http://schemas.openxmlformats.org/wordprocessingml/2006/main&quot;&gt;&lt;w:lang w:val=&quot;es-ES_tradnl&quot; /&gt;&lt;/w:rPr&gt;">
        <w:rPr/>
        <w:t xml:space="preserve">En la demanda de amparo se dice que las resoluciones judiciales recurridas lesionan los derechos a la tutela judicial efectiva sin indefensión, a la presunción de inocencia y el principio de legalidad penal, por lo que se solicita que, otorgando el amparo interesado, sea dictada Sentencia anulando las impugnadas. En el lugar correspondiente de la demanda también se pide que se decrete la suspensión de la ejecución de dichas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en providencia de 25 de mayo de 1998, admitió a trámite la demanda y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ha evacuado el traslado el 2 de junio de 1998, mediante escrito en el que sostiene que el ámbito concreto y particular a que se contrae la causa penal de que trae causa este recurso de amparo, permite sostener que de la suspensión no ha de derivarse perturbación grave para los intereses generales ni afectaría, directa ni indirectamente, a derechos fundamentales o libertades públicas de terceros. Por contra, los perjuicios que le acarrearía la ejecución de la Sentencia impugnada motivan expresamente su petición de suspensión, siendo evidente que, de no accederse a la suspensión, el recurso de amparo perdería la mayor parte de su finalidad. </w:t>
      </w:r>
    </w:p>
    <w:p w:rsidRPr="00C21FFE" w:rsidR="00AD51A7" w:rsidRDefault="00AD51A7">
      <w:pPr>
        <w:rPr/>
      </w:pPr>
      <w:r w:rsidRPr="&lt;w:rPr xmlns:w=&quot;http://schemas.openxmlformats.org/wordprocessingml/2006/main&quot;&gt;&lt;w:lang w:val=&quot;es-ES_tradnl&quot; /&gt;&lt;/w:rPr&gt;">
        <w:rPr/>
        <w:t xml:space="preserve">Por su parte, el Fiscal, en escrito que presentó el 12 de junio de 1998, no se opone a la suspensión de la ejecución de la pena de inhabilitación especial dada su escasa duración y las circunstancias del caso analizado, sin que haya lugar a suspender la ejecución de la condena en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ó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«esta presidido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La premisa de partida es que la interposición del recurso de amparo, como regla general, no suspende la ejecución de los actos recurridos, salvo en el supuesto expresamente previsto en la LOTC -pérdida de la finalidad del amparo- y aún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la perspectiva del propio proceso constitucional, la suspensión aparece como una medida cautelar, que cumple una función de equilibrio entre la efectividad de los pronunciamientos de los poderes públicos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desprovista de eficacia práctica. La decisión acerca de la suspensión preventiva del acto o disposición objeto del proceso de amparo exige una delicada ponderación de los intereses generales o los derechos fundamentales de terceros, cuya perturbación grave o lesión actúa como limite de la medida cautelar, y el interés particular del demandante en amparo. En tal aspecto es el potencial perjudicado quien ha de justificarlo.  Por otra parte, el análisis de la situación ha de hacerse sin prejuzgar la cuestión principal.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análisis de los intereses en conflicto, dentro del caso concreto que nos ocupa, desvela ante todo que, como en toda resolución judicial firme, existe un interés general latente, como exigencia inherente a la efectividad de la tutela judicial, cuya plenitud sólo así se alcanza. La petición del demandante de amparo, desde la perspectiva opuesta, afecta al ejercicio de la función pública en su condición de Alcalde. Así las cosas, es notorio que si se ejecutara la pena de inhabilitación especial antes de que este Tribunal decida en Sentencia sobre la pretensión de amparo, su eventual triunfo podría resultar en gran medida inútil, ya que cuando la obtuviere el demandante habría cumplido una parte cuantitativamente importante de la condena, dada su duración. Esta situación resultaría por tardo irreversible, sin que una indemnización de daños y perjuicios pueda tener otra función que la compensatoria, muy lejos de la restitutio in integrum (ATC 100/1996). Queda patente así la oportunidad de suspender la ejecutoriedad de las Sentencias impugnadas a fin de evitar que una eventual concesión del amparo pretendido pierda su finalidad práctica, pues el actor tendría cumplida para entonces buena parte de la pena restrictiva de derechos. Este criterio, como alega el Ministerio Fiscal, no es extensible al pronunciamiento sobre las costas procesales, dados sus efectos exclusivamente patrimoniales, cuya incidencia perjudicial permite la reparación sin dificultad, en principio, mediante la devolución de lo pagado (AATC 573/1985, 574/1985 y 275/1990).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Sala acuerda suspender la ejecución de las Sentencias recurridas en lo que se refiere a la pena de inhabilitación especial, manteniendo su ejecutividad respecto del pronunciamiento sobre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junio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