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30 de junio de 1999 la representación procesal de Talleres Alcedo, S.L. formuló demanda de amparo contra Sentencia de 27 de marzo de 1999 y las providencias de 10 y 31 de mayo de 1999, dictadas por la Sección Cuarta de la Audiencia Provincial de Murcia en el rollo de apelación civil 15/99.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en su condición de arrendataria, fue demandada en un juicio de cognición por la arrendadora en reclamación de las cantidades adeudadas en concepto de renta. </w:t>
      </w:r>
    </w:p>
    <w:p w:rsidRPr="00C21FFE" w:rsidR="00AD51A7" w:rsidRDefault="00AD51A7">
      <w:pPr>
        <w:rPr/>
      </w:pPr>
      <w:r w:rsidRPr="&lt;w:rPr xmlns:w=&quot;http://schemas.openxmlformats.org/wordprocessingml/2006/main&quot;&gt;&lt;w:lang w:val=&quot;es-ES_tradnl&quot; /&gt;&lt;/w:rPr&gt;">
        <w:rPr/>
        <w:t xml:space="preserve">La demandada se opuso y formuló a su vez reconvención solicitando la resolución del contrato de arrendamiento concertado entre las partes. </w:t>
      </w:r>
    </w:p>
    <w:p w:rsidRPr="00C21FFE" w:rsidR="00AD51A7" w:rsidRDefault="00AD51A7">
      <w:pPr>
        <w:rPr/>
      </w:pPr>
      <w:r w:rsidRPr="&lt;w:rPr xmlns:w=&quot;http://schemas.openxmlformats.org/wordprocessingml/2006/main&quot;&gt;&lt;w:lang w:val=&quot;es-ES_tradnl&quot; /&gt;&lt;/w:rPr&gt;">
        <w:rPr/>
        <w:t xml:space="preserve">El Juzgado de Primera Instancia núm. 1 de Cartagena (cognición 399/97), tras la oportuna tramitación, dictó Sentencia el 6 de octubre de 1998 en la que estimó la demanda y desestimó la reconvención, condenando a la demandada a pagar a la actora la suma de 243.600 pesetas en concepto de rentas insatisfechas e IVA., más los intereses legales y las costas procesales. </w:t>
      </w:r>
    </w:p>
    <w:p w:rsidRPr="00C21FFE" w:rsidR="00AD51A7" w:rsidRDefault="00AD51A7">
      <w:pPr>
        <w:rPr/>
      </w:pPr>
      <w:r w:rsidRPr="&lt;w:rPr xmlns:w=&quot;http://schemas.openxmlformats.org/wordprocessingml/2006/main&quot;&gt;&lt;w:lang w:val=&quot;es-ES_tradnl&quot; /&gt;&lt;/w:rPr&gt;">
        <w:rPr/>
        <w:t xml:space="preserve">b) Contra esta Sentencia interpuso la ahora demandante del amparo recurso de apelación que fue admitido a trámite. La Sección Cuarta de la Audiencia Provincial de Murcia (rollo 15/99), mediante la Sentencia de 27 de marzo de 1999 desestimó el recurso y confirmó la Sentencia apelada. </w:t>
      </w:r>
    </w:p>
    <w:p w:rsidRPr="00C21FFE" w:rsidR="00AD51A7" w:rsidRDefault="00AD51A7">
      <w:pPr>
        <w:rPr/>
      </w:pPr>
      <w:r w:rsidRPr="&lt;w:rPr xmlns:w=&quot;http://schemas.openxmlformats.org/wordprocessingml/2006/main&quot;&gt;&lt;w:lang w:val=&quot;es-ES_tradnl&quot; /&gt;&lt;/w:rPr&gt;">
        <w:rPr/>
        <w:t xml:space="preserve">Notificada esta Sentencia el 12 de abril de 1999, con fecha de 6 de mayo de 1999, la recurrente instó la nulidad de actuaciones, al amparo del art. 240 LOPJ alegando indefensión e incongruencia del fallo. </w:t>
      </w:r>
    </w:p>
    <w:p w:rsidRPr="00C21FFE" w:rsidR="00AD51A7" w:rsidRDefault="00AD51A7">
      <w:pPr>
        <w:rPr/>
      </w:pPr>
      <w:r w:rsidRPr="&lt;w:rPr xmlns:w=&quot;http://schemas.openxmlformats.org/wordprocessingml/2006/main&quot;&gt;&lt;w:lang w:val=&quot;es-ES_tradnl&quot; /&gt;&lt;/w:rPr&gt;">
        <w:rPr/>
        <w:t xml:space="preserve">En síntesis, se afirmaba que se había vulnerado el derecho al juez ordinario predeterminado por la ley pues, según las reglas de reparto de asuntos aprobados por Acuerdo de 25 de marzo de 1997 de la Sala de Gobierno del Tribunal Superior de Justicia de Murcia, el conocimiento de las apelaciones referidas a cuestión de arrendamientos correspondían a la Sección Tercera de la Audiencia Provincial de Murcia. Pese a ello, de la apelación había conocido la Sección Cuarta que es la que dictó la Sentencia objeto del amparo. </w:t>
      </w:r>
    </w:p>
    <w:p w:rsidRPr="00C21FFE" w:rsidR="00AD51A7" w:rsidRDefault="00AD51A7">
      <w:pPr>
        <w:rPr/>
      </w:pPr>
      <w:r w:rsidRPr="&lt;w:rPr xmlns:w=&quot;http://schemas.openxmlformats.org/wordprocessingml/2006/main&quot;&gt;&lt;w:lang w:val=&quot;es-ES_tradnl&quot; /&gt;&lt;/w:rPr&gt;">
        <w:rPr/>
        <w:t xml:space="preserve">Se afirmaba, asimismo, que no se pudo denunciar esta infracción al no haberse notificado a la recurrente la composición de la Sala. </w:t>
      </w:r>
    </w:p>
    <w:p w:rsidRPr="00C21FFE" w:rsidR="00AD51A7" w:rsidRDefault="00AD51A7">
      <w:pPr>
        <w:rPr/>
      </w:pPr>
      <w:r w:rsidRPr="&lt;w:rPr xmlns:w=&quot;http://schemas.openxmlformats.org/wordprocessingml/2006/main&quot;&gt;&lt;w:lang w:val=&quot;es-ES_tradnl&quot; /&gt;&lt;/w:rPr&gt;">
        <w:rPr/>
        <w:t xml:space="preserve">También se alegaba incongruencia omisiva por no haber dado la Sentencia de apelación respuesta fundada a las pretensiones debatidas. </w:t>
      </w:r>
    </w:p>
    <w:p w:rsidRPr="00C21FFE" w:rsidR="00AD51A7" w:rsidRDefault="00AD51A7">
      <w:pPr>
        <w:rPr/>
      </w:pPr>
      <w:r w:rsidRPr="&lt;w:rPr xmlns:w=&quot;http://schemas.openxmlformats.org/wordprocessingml/2006/main&quot;&gt;&lt;w:lang w:val=&quot;es-ES_tradnl&quot; /&gt;&lt;/w:rPr&gt;">
        <w:rPr/>
        <w:t xml:space="preserve">c) A este incidente de nulidad de actuaciones responde la Audiencia con la providencia de 10 de mayo de 1999 con la siguiente motivación "únase (el escrito planteando el incidente) y no ha lugar a lo que en el mismo solicita". </w:t>
      </w:r>
    </w:p>
    <w:p w:rsidRPr="00C21FFE" w:rsidR="00AD51A7" w:rsidRDefault="00AD51A7">
      <w:pPr>
        <w:rPr/>
      </w:pPr>
      <w:r w:rsidRPr="&lt;w:rPr xmlns:w=&quot;http://schemas.openxmlformats.org/wordprocessingml/2006/main&quot;&gt;&lt;w:lang w:val=&quot;es-ES_tradnl&quot; /&gt;&lt;/w:rPr&gt;">
        <w:rPr/>
        <w:t xml:space="preserve">Notificada esta providencia el 20 de mayo de 1999, con fecha de 25 de mayo de 1999, se reitera la solicitud de nulidad, alegándose que debería haber revestido la forma de Auto, que debería ser siempre fundado. </w:t>
      </w:r>
    </w:p>
    <w:p w:rsidRPr="00C21FFE" w:rsidR="00AD51A7" w:rsidRDefault="00AD51A7">
      <w:pPr>
        <w:rPr/>
      </w:pPr>
      <w:r w:rsidRPr="&lt;w:rPr xmlns:w=&quot;http://schemas.openxmlformats.org/wordprocessingml/2006/main&quot;&gt;&lt;w:lang w:val=&quot;es-ES_tradnl&quot; /&gt;&lt;/w:rPr&gt;">
        <w:rPr/>
        <w:t xml:space="preserve">A esta nueva solicitud de nulidad responde la Audiencia con otra lacónica providencia de 31 de mayo de 1999, notificada el 7 de junio de 1999, con la siguiente motivación "... únase (el escrito) y no ha lugar a lo que solicita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 CE y del derecho a la igualdad consagrado en el art. 14 CE. </w:t>
      </w:r>
    </w:p>
    <w:p w:rsidRPr="00C21FFE" w:rsidR="00AD51A7" w:rsidRDefault="00AD51A7">
      <w:pPr>
        <w:rPr/>
      </w:pPr>
      <w:r w:rsidRPr="&lt;w:rPr xmlns:w=&quot;http://schemas.openxmlformats.org/wordprocessingml/2006/main&quot;&gt;&lt;w:lang w:val=&quot;es-ES_tradnl&quot; /&gt;&lt;/w:rPr&gt;">
        <w:rPr/>
        <w:t xml:space="preserve">Estas violaciones se fundan en que la Audiencia no notificó a la recurrente la Sala (Sección) que conoció del recurso de apelación ni el Magistrado Ponente, y al dictarse la Sentencia de apelación por la Sección Cuarta que no era a la que correspondía conocer del asunto, se ha vulnerado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Asimismo, se alega incongruencia al no dar respuesta la Sentencia de apelación a la pretensión reconvencional alegada en su día por la recurrente. </w:t>
      </w:r>
    </w:p>
    <w:p w:rsidRPr="00C21FFE" w:rsidR="00AD51A7" w:rsidRDefault="00AD51A7">
      <w:pPr>
        <w:rPr/>
      </w:pPr>
      <w:r w:rsidRPr="&lt;w:rPr xmlns:w=&quot;http://schemas.openxmlformats.org/wordprocessingml/2006/main&quot;&gt;&lt;w:lang w:val=&quot;es-ES_tradnl&quot; /&gt;&lt;/w:rPr&gt;">
        <w:rPr/>
        <w:t xml:space="preserve">Por otrosí en la demanda se interesaba la suspensión del procedimiento y también de los autos del juicio de cognición 165/99 del Juzgado de Primera Instancia núm. 7 de Cartagena.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 de octubre de 2000, se acordó formar la correspondiente pieza separada de suspensión, concediendo a la recurrente y al Ministerio Fiscal un plazo común de tres días para que alegasen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13 de octubre de 2000 el Ministerio Fiscal formuló sus alegaciones en las que se opuso a la suspensión. Tras exponer una relación de hechos entiende, con cita de los AATC 17/1980, 57/1980, 257/1986, 249/1989, 294/1989, 141/1990, 35/1996, que la suspensión se configura como una medida provisional de carácter excepcional y de aplicación restrictiva, dado el interés general en la efectividad de las decisiones de los poderes públicos y, en particular, en la ejecución de las resoluciones judiciales. En el presente caso, la Sentencia cuya suspensión se solicita contiene una condena pecuniaria, por lo que su ejecución no produce efectos irreversibles, máxime cuando no se alega ninguna circunstancia que pudiera impedir, en su caso, la restitución de la condena. </w:t>
      </w:r>
    </w:p>
    <w:p w:rsidRPr="00C21FFE" w:rsidR="00AD51A7" w:rsidRDefault="00AD51A7">
      <w:pPr>
        <w:rPr/>
      </w:pPr>
      <w:r w:rsidRPr="&lt;w:rPr xmlns:w=&quot;http://schemas.openxmlformats.org/wordprocessingml/2006/main&quot;&gt;&lt;w:lang w:val=&quot;es-ES_tradnl&quot; /&gt;&lt;/w:rPr&gt;">
        <w:rPr/>
        <w:t xml:space="preserve">"6. Mediante escrito registrado el 13 de octubre de 2000, la recurrente reitera su solicitud de suspensión. Alega que la Sentencia que es objeto del presente recurso ha sido utilizada por la arrendadora demandante en el juicio del que trae causa el amparo (cognición 399/97) como precedente para plantear otro juicio de cognición (autos 165/99), ante el Juzgado de Primera Instancia núm. 7 de Cartagena para reclamar unas supuestas rentas vencidas con fundamento en el contrato de arrendamiento objeto del pleito. Por ello, se estima que de no acordarse la suspensión, se perdería la finalidad del amparo, que debería extenderse no sólo al juicio de cognición 399/97, seguido ante el Juzgado de Primera Instancia núm. 1 de Cartagena, antecedente del amparo, sino también al juicio de cognición 165/99, del Juzgado de Primera Instancia núm. 7 de Cartagena, ya que este órgano judicial ha captado el carácter decisivo del anterior juicio para resolver el nuevo pleito.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(AATC 239/1990, 6/1996, 61/1997, 89/1997, 109/1997, 13/1999) que, en todo caso, deberán ser acreditados (AATC 253/1995, 118/1996,71/1997),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las Sentencias recaídas en el juicio de cognición del que trae causa el amparo imponen a la recurrente una condena meramente pecuniaria, en virtud de la cual viene obligada a satisfacer a la parte actora la cantidad de 243.600 pesetas más los intereses legales de dicha cantidad desde la interpelación judicial, a lo que hay que añadir las costas de las dos instancias. En consecuencia, nos hallamos ante una prestación dineraria cuya ejecución no produciría para la recurrente una situación irreversible o irreparable pues, en el supuesto de que como consecuencia de la estimación del amparo dicha condena se dejase sin efecto, el estado creado por la ejecución sería fácilmente reparable mediante la devolución de lo en su día abonado a la parte actora; sin que, dada la cuantía de la condena pecuniaria y las circunstancias del caso existan méritos para presumir que dicha restitución no podría tener lugar.</w:t>
      </w:r>
    </w:p>
    <w:p w:rsidRPr="00C21FFE" w:rsidR="00AD51A7" w:rsidRDefault="00AD51A7">
      <w:pPr>
        <w:rPr/>
      </w:pPr>
      <w:r w:rsidRPr="&lt;w:rPr xmlns:w=&quot;http://schemas.openxmlformats.org/wordprocessingml/2006/main&quot;&gt;&lt;w:lang w:val=&quot;es-ES_tradnl&quot; /&gt;&lt;/w:rPr&gt;">
        <w:rPr/>
        <w:t xml:space="preserve">Asimismo, tampoco procede -como se pretende por la solicitante del amparo- la suspensión de la ejecución de las resoluciones que puedan recaer en el juicio de cognición 165/99 del Juzgado de Primera Instancia núm. 7 de Cartagena. En primer lugar, porque se pretende dejar sin efecto una Sentencia que, por lo que parece, todavía no ha sido dictada y, en segundo lugar, porque igualmente, de condenarse en ella a la recurrente a satisfacer a la actora ciertas sumas de dinero, nos hallaríamos ante una prestación meramente pecuniaria que, de ejecutarse, podría ser fácilmente reparada mediante la posterior restitución de lo satisfecho.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