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2468-2000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abril de 2000, la Procuradora de los Tribunales, doña Sonia Casqueiro Alvarez, en nombre y representación de don José Yáñez Hermida, formuló recurso de amparo contra la Sentencia dictada por la Audiencia Provincial de A Coruña, de 20 de enero de 2000, que confirma en apelación la dictada por el Juzgado de lo Penal de El Ferrol, de 29 de junio de 1999, en el procedimiento abreviado núm. 30/97, seguido contra el hoy demandante por delito contra la seguridad en el tráfico. En dicho procedimiento se le condenó como autor de este delito a las penas de multa de cinco meses con cuota diaria de mil pesetas y privación del derecho de conducir vehículos de motor y ciclomotor por período de dos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la vulneración del derecho a la legalidad sancionatoria (art. 25.1 CE) por cuanto habría sido condenado dos veces por los mismos hechos, ya que fue sancionado con anterioridad en la vía administrativa por haber conducido bajo la influencia de bebidas alcohólicas.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mayo de 2001, la Sección Segunda acordó admitir a trámite la demanda de amparo, abrir pieza separada de suspensión y, de conformidad con lo prevenido en el art. 56 LOTC, conceder un plazo común de tres días, al Ministerio Fiscal y a la demandante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2 de junio de 2001, el demandante de amparo, evacuando el trámite de alegaciones, manifestó que la pena de multa ha sido ya ejecutada y que la privación del derecho a conducir vehículo de motor y ciclomotor comenzó a ejecutarse el 3 de mayo de 2000. De otra parte, alega que el recurso de amparo interpuesto carecería de sentido si tuviera que cumplir la pena en su totalidad, dado que los perjuicios causados en caso de resolución favorable del Tribunal serían de imposible reparación, perdiendo el amparo solicitado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ante este Tribunal el 5 de junio de 2001, el Ministerio Fiscal, de conformidad con la doctrina constitucional aplicable interesa la denegación la suspensión solicitada. De un lado, en relación con la pena de multa recuerda la doctrina de este Tribunal en el sentido de que no procede la suspensión de la ejecución de los pronunciamientos de carácter económico dado que resulta posible su reparación mediante reintegro de lo abonado. De otra parte, respecto de la pena de privación del derecho de conducir vehículos de motor y ciclomotor, entiende que, de conformidad con la doctrina constitucional más moderna (AATC 30/1999 y 53/1999) que matiza la anterior (AATC 152/1997 y 55/1998), no procede la suspensión instada, por cuanto una resolución positiva requeriría que el demandante hubiera alegado circunstancias personales o profesionales idóneas para acreditar el grave perjuicio que le causaría la ejecución de dicha pena, pues, en otro caso, habría de prevalecer el interés general en la efectividad de la condena. De modo que, en la medida en que el recurrente no alega tales circunstancias concretas que sustentarían un perjuicio personal específico, sino que solicita la suspensión de dicha pena con base en un genérica fundamentación, debe denegarse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lo manifestado por el recurrente en su escrito de alegaciones se desprende que el objeto de la suspensión interesada ha quedado reducido al pronunciamiento de las resoluciones judiciales impugnadas relativas a la pena de privación del derecho a conducir vehículos de motor y ciclomotor. En relación con dicho pronunciamiento hemos de recordar que, de conformidad con lo dispuesto en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inciso segundo de este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atención a dichas previsiones normativas, este Tribunal ha declarado de forma reiterada que la suspensión de la ejecución de una resolución judicial entraña una perturbación de la función jurisdiccional, existiendo, por tanto, un interés general en su ejecución (AATC 81/1981, 242/2000 entre muchos). De suerte que habrá de denegarse en principio la suspensión de la ejecución, salvo que el demandante acredite, y este Tribunal aprecie, que la ejecución de la resolución le ocasionaría un perjuicio irreparable. En particular, en relación de la pena de privación del permiso de conducir vehículos de motor, este Tribunal ha acordado la suspensión cuando el demandante alega y acredita un perjuicio específico dada su condición profesional de conductor (ATC 242/2000), o dada la ausencia de transporte público para acceder al lugar de trabajo (ATC 53/1999), por el contrario, la ha negado ante la falta de acreditación de tales perjuicios irreparables (ATC 30/1999).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como afirma el Ministerio Fiscal, el demandante de amparo no alega que la denegación de la suspensión de la pena de privación del permiso de conducir vehículos de motor le ocasione un especial perjuicio derivado de ser su profesión la de conductor, u otros extremos, sino que se refiere de forma general a los perjuicios que derivarían del cumplimiento total de la pena antes de que este Tribunal resuelva el recurso de amparo. Por consiguiente, ponderando, de un lado, el interés general en la ejecución de la resolución judicial y el específico en la ejecución de la pena impuesta a la luz de la conexión del delito por el que ha sido condenado por los Tribunales penales -delito contra la seguridad del tráfico por conducir bajo el efecto de bebidas alcohólicas-, y, de otro, el contenido de la pena a la que se refiere la suspensión solicitada -privación del permiso de conducir- y la específica función asegurativa que ésta cumple en estos casos, ha de denegarse la suspensión solicitada, dado que la misma ocasionaría una perturbación grave en los intereses generales., mientras que el perjuicio que ocasionaría su ejecución al recurrente es, sin más, el inherente a la ejecución de una pena de esta naturaleza y entidad.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