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el Auto de la Sala de lo Penal del Tribunal Supremo de 18 de julio de 2001 y la Sentencia de la Sección Sexta de la Audiencia Provincial de Madrid de 29 de septiembre de 2000 exclusivamente en lo relativo a la pena de prisión de cinco años y a</w:t>
            </w:r>
          </w:p>
          <w:p w:rsidRPr="00D13423" w:rsidR="00AD51A7" w:rsidRDefault="00AD51A7">
            <w:pPr>
              <w:rPr/>
            </w:pPr>
            <w:r w:rsidRPr="&lt;w:rPr xmlns:w=&quot;http://schemas.openxmlformats.org/wordprocessingml/2006/main&quot;&gt;&lt;w:color w:val=&quot;800080&quot; /&gt;&lt;w:szCs w:val=&quot;24&quot; /&gt;&lt;/w:rPr&gt;">
              <w:rPr/>
              <w:t xml:space="preserve">la accesoria de inhabilitación especial para el derecho de sufragio.</w:t>
            </w:r>
          </w:p>
          <w:p w:rsidRPr="00D13423" w:rsidR="00AD51A7" w:rsidRDefault="00AD51A7">
            <w:pPr>
              <w:rPr/>
            </w:pPr>
            <w:r w:rsidRPr="&lt;w:rPr xmlns:w=&quot;http://schemas.openxmlformats.org/wordprocessingml/2006/main&quot;&gt;&lt;w:color w:val=&quot;800080&quot; /&gt;&lt;w:szCs w:val=&quot;24&quot; /&gt;&lt;/w:rPr&gt;">
              <w:rPr/>
              <w:t xml:space="preserve">Denegar la suspensión respecto del resto de los pronunciamientos de las citadas resoluciones.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septiembre de 2001, el Procurador de los Tribunales don Pedro Pérez Medina, en nombre y representación de don José Luis Sastre Sanz, interpuso recurso de amparo contra el Auto de la Sala de lo Penal del Tribunal Supremo de 18 de julio de 2001 y contra la Sentencia de la Sección Sexta de la Audiencia Provincial de Madrid de 29 de septiembre de 2000 que le condenó, como autor de un delito de robo con intimidación en establecimiento abierto al público (art. 237 en relación con el art. 241.1 CP) con agravante específica de uso de arma (art. 242.2 CP) y genérica de reincidencia (art. 22.8 CP), a las penas de cinco años de prisión, accesoria de inhabilitación especial para el derecho de sufragio pasivo durante el tiempo de la condena, al pago de las costas y a indemnizar a la entidad Caja Postal Argentaria en la suma de 739.000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fundamental a la presunción de inocencia (art. 24.2 CE) y del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octubre de 2002, la Sección Segunda de este Tribunal acordó admitir a trámite la demanda de amparo, y a tenor de lo dispuesto en el art. 51 LOTC, requerir a la Sección Sexta de la Audiencia Provincial de Madrid y a la Sala de lo Penal del Tribunal Supremo, para que en el plazo de diez días remitieran, respectivamente, testimonio del rollo núm. 207/98 y procedimiento abreviado núm. 1512/97-B del Juzgado de Instrucción núm. 16 de los de Madrid, y recurso núm. 3735-2000, interesándose al propio tiempo que se emplazare a quienes fueron parte en el mencionado procedimiento, con excepción del recurrente de amparo, para que en el plazo de diez días pudieran comparecer en este proceso constitucional, con traslado a dichos efectos de copia de la demanda presentada. Asimismo, acordó formar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la misma fecha, y al amparo de lo previsto en el art. 56 LOTC, la Sección acordó conceder plazo común de tres días, al Ministerio Fiscal y al solicitante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16 de octubre de 2002 la representación del recurrente, evacuando alegaciones, reiteró la petición de suspensión razonando que el ingreso en prisión le ocasionaría un grave perjuicio dado que ello pondría en peligro los logros personales y sociales conseguidos por el mismo en su proceso de rehabilitación, pues ha superado positivamente un programa de rehabilitación de drogodependencia, ha realizado distintos trabajos, ha realizado un curso de técnica industrial -todo ello, según documentación aportada acreditativa- y no ha cometido delito alguno. De otra parte, la denegación de la suspensión podría suponer que el restablecimiento del recurrente en el derecho constitucional vulnerado sea tardío y convierta en meramente ilusorio y nominal el amparo que se solicita, mientras que no concurre en el caso circunstancia alguna que implique perturbación grave de los derechos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18 de octubre de 2002, interesó la denegación de la suspensión teniendo en cuenta la duración de la pena y la correlativa gravedad de los hechos por los que fue sancionado, aunque ello pueda significar una pérdida parcial del objeto de este proceso, por primar el interés general de ejecución de la resolución judicial, sin perjuicio de que por el Tribunal Constitucional, visto el derecho fundamental alegado, y las consecuencias que conllevaría una eventual estimación del recurso de amparo, acuerde la tramitación urgente y preferente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De modo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(por todos, ATC 22/2002).</w:t>
      </w:r>
    </w:p>
    <w:p w:rsidRPr="00C21FFE" w:rsidR="00AD51A7" w:rsidRDefault="00AD51A7">
      <w:pPr>
        <w:rPr/>
      </w:pPr>
      <w:r w:rsidRPr="&lt;w:rPr xmlns:w=&quot;http://schemas.openxmlformats.org/wordprocessingml/2006/main&quot;&gt;&lt;w:lang w:val=&quot;es-ES_tradnl&quot; /&gt;&lt;/w:rPr&gt;">
        <w:rPr/>
        <w:t xml:space="preserve">En el presente caso el recurrente solicita que se suspenda la ejecución de la Sentencia, en virtud de la cual, y como consta en los antecedentes, resultó condenado a una pena privativa de libertad de cinco años, a la accesoria de inhabilitación especial para el derecho de sufragio pasivo, a pagar las costas y a indemnizar a la entidad Caja Postal de Argentaria en la suma de 739.000 ptas. La condena se sustenta en haber sido declarado el recurrente autor de un delito de robo con intimidación en establecimiento abierto al público -oficina bancaria-, con uso de armas -un cuchillo- y siendo reincidente -condenado anteriormente por un delito de robo-.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por lo que no se suspenderán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aquél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privativas o limitativas de ciertos derechos.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Respecto de condenas a penas privativas de libertad de cinco años, la regla general ha sido su suspensión conforme al criterio genérico de la pérdida de eficacia del amparo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procede la suspensión solicitada en lo atinente a la pena de prisión de cinco años impuesta. Dada la duración de la pena privativa de libertad impuesta, cinco años, en caso de otorgarse el amparo solicitado el restablecimiento del recurrente en el derecho constitucional vulnerado sería tardío e ilusorio y nominal. Sin que, por otro lado, dada la trayectoria, acreditada documentalmente por el recurrente, posterior a su condena, se advierta una perturbación grave de los intereses generales o de los derechos fundamentales o libertades públicas de un tercero, más allá del genérico que toda inejecución de una resolución judicial comporta. En efecto, si bien la Sentencia condenatoria de la Audiencia Provincial es de 28 de septiembre de 2000, los hechos por los que resultó condenado el recurrente acaecieron en 1997, de modo que el tiempo transcurrido desde entonces y el dato de que durante el mismo el recurrente ha superado positivamente un programa de rehabilitación de drogodependencia y realizado distintos trabajos y un curso de técnica industrial -todo ello acreditado documentalmente-, avalan la suspensión de las resoluciones en lo relativo a la pena privativa de libertad, en atención a los perjuicios específicos que su ejecución podría ocasionar en el proceso de rehabilitación del recurrente.</w:t>
      </w:r>
    </w:p>
    <w:p w:rsidRPr="00C21FFE" w:rsidR="00AD51A7" w:rsidRDefault="00AD51A7">
      <w:pPr>
        <w:rPr/>
      </w:pPr>
      <w:r w:rsidRPr="&lt;w:rPr xmlns:w=&quot;http://schemas.openxmlformats.org/wordprocessingml/2006/main&quot;&gt;&lt;w:lang w:val=&quot;es-ES_tradnl&quot; /&gt;&lt;/w:rPr&gt;">
        <w:rPr/>
        <w:t xml:space="preserve">El mismo pronunciamiento ha de efectuarse respecto de la pena accesoria de inhabilitación especial, pues, como este Tribunal tiene declarado, las penas accesorias siguen la suerte de la principal (entre muchos, AATC 144/1984; 267/1995; 301/1995; 7/1996; 152/1996; 87/1997; 286/1997; 182/1998; 271/1998; 83/2000; y 22/2002).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los pronunciamientos de carácter económico -costas e indemnización por responsabilidad civil derivada del delito-, ha de seguirse el criterio general de la no suspensión, dado que su ejecución no ocasiona en principio un daño irreparable, atendida su naturaleza y el derecho afectado.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el Auto de la Sala de lo Penal del Tribunal Supremo de 18 de julio de 2001 y la Sentencia de la Sección Sexta de la Audiencia Provincial de Madrid de 29 de septiembre de 2000 exclusivamente en lo relativo a la pena de prisión de cinco años y a</w:t>
      </w:r>
    </w:p>
    <w:p w:rsidRPr="" w:rsidR="00AD51A7" w:rsidRDefault="00AD51A7">
      <w:pPr>
        <w:rPr/>
      </w:pPr>
      <w:r w:rsidRPr="&lt;w:rPr xmlns:w=&quot;http://schemas.openxmlformats.org/wordprocessingml/2006/main&quot;&gt;&lt;w:szCs w:val=&quot;24&quot; /&gt;&lt;/w:rPr&gt;">
        <w:rPr/>
        <w:t xml:space="preserve">la accesoria de inhabilitación especial para el derecho de sufragio.</w:t>
      </w:r>
    </w:p>
    <w:p w:rsidRPr="" w:rsidR="00AD51A7" w:rsidRDefault="00AD51A7">
      <w:pPr>
        <w:rPr/>
      </w:pPr>
      <w:r w:rsidRPr="&lt;w:rPr xmlns:w=&quot;http://schemas.openxmlformats.org/wordprocessingml/2006/main&quot;&gt;&lt;w:szCs w:val=&quot;24&quot; /&gt;&lt;/w:rPr&gt;">
        <w:rPr/>
        <w:t xml:space="preserve">Denegar la suspensión respecto del resto de los pronunciamientos de las citadas resoluciones.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