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5621-2001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José Vicente Martínez Valero.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31 de octubre de 2001, la Procuradora de los Tribunales doña María Rodríguez Puyol, en nombre y representación de don José Vicente Martínez Valero, interpuso recurso de amparo contra el Auto de la Audiencia Provincial (Sección Octava) de Valencia de 4 de octubre de 2001, que desestimó el recurso de queja formulado contra dos Autos anteriores del Juzgado de Primera Instancia núm. 4 de Paterna que inadmitieron el recurso de apelación intentado frente a la Sentencia del mismo Juzgado de 15 de febrero de 2001, que había condenado al recurrente en amparo al pago de 745.241 pesetas (4.478,99 €), más intereses y costas procesales. La demanda de amparo imputa al mencionado Auto una supuesta vulneración del derecho a la tutela judicial efectiva (art. 24.1 CE), en su vertiente de derecho al recurso, y termina solicitando por otrosí la suspensión de la ejecución de la Sentencia condenatoria que, según se dice, podría implicar un daño de muy difícil o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Sustanciado el trámite regulado en el art. 50.3 LOTC, el recurso de amparo se admitió a trámite por providencia de la Sección Primera de este Tribunal de 24 de febrero de 2003. Por providencia de las mismas Sección y fecha se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 escrito de alegaciones el 3 de marzo de 2003. En él, tras la exposición de los antecedentes y de la jurisprudencia de este Tribunal relativa a la suspensión de los actos impugnados a través del recurso de amparo constitucional, considera que el recurrente no apoya su solicitud de suspensión en fundamentación alguna y que la ejecución de la condena pecuniaria impuesta por la Sentencia del Juzgado de Primera Instancia sería perfectamente reparable en caso de que se estimara la demanda de amparo y el recurso de apelación que pretendía interponerse. Por todo ello, concluye el Ministerio Fiscal su escrito solicitando que se dicte Auto por el que se deniegue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4 de marzo de 2003 tuvo entrada en este Tribunal el escrito de alegaciones del recurrente en amparo, que reiteraba que la falta de suspensión causaría daños de imposible o muy difícil reparación, dado que con gran esfuerzo ya se había consignado el importe del principal de la condena y que el pago de los intereses que se devenguen y las costas aumentaría el quebranto económico. Alega, además, el demandante de amparo que la admisión a trámite del recurso pondría de manifiesto la existencia de un fumus boni iuris que también permitiría fundamentar la solicitud de suspensión con la que termina el escrito.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recurrente en amparo que se suspenda durante la tramitación del presente recurso de amparo la ejecución de la Sentencia del Juzgado de Primera Instancia núm. 4 de Paterna, dictada en juicio de cognición y que le condenó al pago de 745.241 pesetas [4.478,99€ (más intereses y costas procesales)] a José Ibáñez Girona,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esa exigencia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genera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se plantea en la presente pieza separada, debe tenerse en cuenta que el acto jurídico impugnado a través del recurso de amparo no es la Sentencia cuya suspensión se solicita, sino un Auto de la Audiencia Provincial de Valencia que confirmó la inadmisión del recurso de apelación que el recurrente pretendía interponer frente a la mencionada Sentencia. Puede entenderse viable, no obstante, la solicitud de suspensión de la ejecución de un acto distinto al impugnado a través del recurso de amparo si entre aquél y éste existe una "estrecha relación de efectos procesales" que justifique la suspensión, aunque "ésta exceda en cierto modo el contenido estricto" del acto impugnado por la vía del amparo constitucional (ATC 313/1999, de 15 de diciembre, FJ 3), como sucede en este caso, en el que el objeto directo de la impugnación no es la Sentencia condenatoria, sino un Auto que inadmitió un recurso formulado contra ella. Sin embargo, no aporta el recurrente argumentación alguna que justifique el apartamiento de la regla general de que las condenas pecuniarias no se suspenden, conforme se ha expuesto más arriba, dado que los eventuales perjuicios que derivan de su ejecución son reparables, y sin que, por otra parte, la admisión de la demanda de amparo tenga trascendencia a la hora de decidir sobre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José Vicente Martínez Valero.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