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24 de febrero de 2003, don Alberto Hidalgo Martínez, Procurador de los Tribunales, y de don Miguel Barrachina Vicente, interpuso recurso de amparo contra la Sentencia de la Sección Segunda de la Audiencia Provincial de Valencia, de 27 de enero de 2003, que desestima el recurso de apelación interpuesto contra la del Juzgado de lo Penal núm. 5 de Valencia, de 27 de septiembre de 2002, sobre delito de robo con intimidación.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por Sentencia del Juzgado de lo Penal núm. 5 de Valencia, de 27 de septiembre de 2002, como autor de dos delitos de robo con intimidación e instrumento peligroso, con la atenuante de drogadicción, a la pena de tres años, seis meses y un día por cada uno de ellos, accesoria legal y al pago de la sexta parte de las costas y de 120 euros como indemnización (solidariamente con el otro condenado). La Sentencia considera probado que el coencausado Julio Martínez Nacher entró el día 3 de febrero de 2002 en un Video Club, exhibió un cutter de gran tamaño exigiendo "la pasta", por lo que los empleados señalaron el cajón de las monedas, del que tomó 120 euros con los que huyó. El día 9 de febrero de 2002, el acusado volvió a dicho establecimiento y mientras enseñaba al empleado una navaja se dirigió al mismo cajón de donde tomó una cantidad no precisada de dinero. Acto seguido salió y se alejó del lugar a bordo del Toyota MR2 conducido por el recurrente, que le aguardaba en las inmediaciones, pues ambos habían acordado previamente proceder con arreglo a este reparto de funciones y siguiendo el mismo procedimiento que en el hecho primero. b) Dicha Sentencia fue recurrida en apelación, recurso desestimado por Sentencia de la Audiencia Provincial de Valencia, Sección Segunda, de 27 de enero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la tutela judicial efectiva (art. 24.1 CE) y a la presunción de inocencia (art. 24.2 CE). Por Otrosí, en la misma demanda, de acuerdo con lo previsto en el art. 56.1 LOTC el demandante solicita se deje en suspenso la ejecución de la sentencia,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marzo de 2004, la Sección Segunda de este Tribunal acordó la admisión a trámite de la demanda así como, a tenor de lo establecido en el art. 51 LOTC, al constar ya recibidos los testimonios de las actuaciones, requerir atentamente al Juzgado de lo Penal para que emplazase a quienes fueron parte en el procedimiento, a excepción del demandante de amparo, a fin de que pudieran comparecer en el recurso de amparo.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11 de marzo de 2004 tuvo entrada en este Tribunal el escrito de alegaciones del Ministerio Fiscal. En dicho escrito, tras resumir los antecedentes procesales y analizar la doctrina constitucional en materia de suspensión, se considera no procedente acceder a la suspensión solicitada, dado que la pena de prisión impuesta es de más de siete años de duración y se impone por la comisión de delitos patrimoniales de apoderamiento cometidos con el empleo de instrumentos peligrosos, por lo que no se encuentran razones para que el interés del recurrente deba prevalecer sobre los intereses generales. Tampoco considera procedente la suspensión de los demás pronunciamientos condenatorios de las Sentencias recurridas, porque al tratarse de sanciones de naturaleza pecuniaria, de su ejecución no se derivan perjuicios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15 de marzo de 2004 presentó sus alegaciones el demandante de amparo, reiterando su solicitud de suspensión de la ejecución de la pena. Destaca la demanda que el día 20 de diciembre de 2003 se produjo el ingreso en prisión, voluntariamente tras ser requerido para ello, que su participación en los hechos que se le imputan no es grave, que no existe riesgo de sustracción a la acción de la justicia, pues siempre que se le ha llamado ha acudido, que tiene un impecable comportamiento en prisión y que antes de ingresar en ella llevaba una vida normal y convivía con sus padres, habiéndose rehabilitado de su adicción a las drogas y finalizado sus estudios con buenas calificaciones.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w:t>
      </w:r>
    </w:p>
    <w:p w:rsidRPr="00C21FFE" w:rsidR="00AD51A7" w:rsidRDefault="00AD51A7">
      <w:pPr>
        <w:rPr/>
      </w:pPr>
      <w:r w:rsidRPr="&lt;w:rPr xmlns:w=&quot;http://schemas.openxmlformats.org/wordprocessingml/2006/main&quot;&gt;&lt;w:lang w:val=&quot;es-ES_tradnl&quot; /&gt;&lt;/w:rPr&gt;">
        <w:rPr/>
        <w:t xml:space="preserve">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debe conducir a la denegación de la suspensión solicitada.</w:t>
      </w:r>
    </w:p>
    <w:p w:rsidRPr="00C21FFE" w:rsidR="00AD51A7" w:rsidRDefault="00AD51A7">
      <w:pPr>
        <w:rPr/>
      </w:pPr>
      <w:r w:rsidRPr="&lt;w:rPr xmlns:w=&quot;http://schemas.openxmlformats.org/wordprocessingml/2006/main&quot;&gt;&lt;w:lang w:val=&quot;es-ES_tradnl&quot; /&gt;&lt;/w:rPr&gt;">
        <w:rPr/>
        <w:t xml:space="preserve">En cuanto a la pena privativa de libertad, la ponderación de intereses que hemos de llevar a cabo nos obliga a considerar, entre otros factores, la gravedad y trascendencia social del delito (robo con intimidación con utilización de instrumento peligroso) y la gravedad de la pena impuesta (siete años), factores que, como argumenta el Ministerio Fiscal, determinan la existencia de un especial interés en la ejecución de las resoluciones judiciales, que debe considerarse preponderante frente al eventual perjuicio causado al recurrente, cuya irreparabilidad, caso de un eventual otorgamiento del amparo, puede atemperarse otorgando al recurso una tramitación preferente.</w:t>
      </w:r>
    </w:p>
    <w:p w:rsidRPr="00C21FFE" w:rsidR="00AD51A7" w:rsidRDefault="00AD51A7">
      <w:pPr>
        <w:rPr/>
      </w:pPr>
      <w:r w:rsidRPr="&lt;w:rPr xmlns:w=&quot;http://schemas.openxmlformats.org/wordprocessingml/2006/main&quot;&gt;&lt;w:lang w:val=&quot;es-ES_tradnl&quot; /&gt;&lt;/w:rPr&gt;">
        <w:rPr/>
        <w:t xml:space="preserve">Por lo que respecta a la pena accesoria de inhabilitación especial impuesta en la Sentencia condenatoria, y conforme a un reiterado criterio jurisprudencial, dicha pena accesoria ha de seguir la misma suerte que la pena principal privativa de libertad, por lo que también procede no acceder a la suspensión instada.</w:t>
      </w:r>
    </w:p>
    <w:p w:rsidRPr="00C21FFE" w:rsidR="00AD51A7" w:rsidRDefault="00AD51A7">
      <w:pPr>
        <w:rPr/>
      </w:pPr>
      <w:r w:rsidRPr="&lt;w:rPr xmlns:w=&quot;http://schemas.openxmlformats.org/wordprocessingml/2006/main&quot;&gt;&lt;w:lang w:val=&quot;es-ES_tradnl&quot; /&gt;&lt;/w:rPr&gt;">
        <w:rPr/>
        <w:t xml:space="preserve">Finalmente, por lo que se refiere a los pronunciamientos de contenido patrimonial -costas procesales e indemnización-, de conformidad con el criterio de este Tribunal, al tratarse de condenas de contenido económico, los perjuicios anejos a su ejecución son perfectamente reparables en caso de estimarse el amparo (AATC 152/1996, 371/1996, 91/1997, 181/1998, 182/1998, 273/1998, 189/2000, 193/2000, 204/2000, 106/2002).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