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5402-2003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5402-2003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las penas solicitada, ordenando la anticipación del conocimiento del presente proceso en el orden de señalamientos.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5 de septiembre de 2003, la Procuradora de los Tribunales doña Teresa Castro Rodríguez, en nombre y representación de don Hicham Mahyoub, interpuso recurso de amparo contra la Sentencia de la Sección Tercera de la Audiencia Provincial de Murcia de 1 de julio de 2003, confirmatoria en apelación de la Sentencia condenatoria dictada por el Juzgado de lo Penal núm.1 de esa misma ciudad, con fecha de 17 de marzo de 2003, en procedimiento seguido contra el demandante de amparo por delitos de robo, hurto y falsedad en documento oficial.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del Juzgado de lo Penal núm.1 de Murcia de 17 de marzo de 2003, confirmada en apelación por la de la Audiencia Provincial de Murcia de 1 de julio de 2003, condenaba al demandante de amparo, como autor responsable de un delito de robo con fuerza en las cosas, un delito de hurto y un delito continuado de falsedad en documento oficial, a las penas de dos años de prisión por el primero de dichos delitos, un año de prisión por el segundo, y tres años de prisión y multa por tiempo de doce meses, a razón de una cuota diaria de 6 euros, por el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27 de enero de 2005,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17 de febrero de 2005 en el que, de conformidad con la reiterada doctrina dictada por este Tribunal respecto del carácter excepcional de la suspensión de la ejecución de las penas impuestas por Sentencia firme, no consideraba procedente acceder a la suspensión de las penas privativas de libertad solicitada por el demandante de amparo toda vez que la suma del cumplimiento de todas ellas alcanza un total de seis años de prisión, por lo que, si bien ciertamente la no suspensión de las mismas causará algún perjuicio al recurrente caso de ser finalmente otorgado el amparo, frente a ello debe prevalecer en este caso, a su juicio, el interés general en la ejecución de las Sentencias recurridas. Tampoco estimaba procedente acceder a la suspensión de la ejecución de las costas procesales, por tratarse de un pronunciamiento de carácter económico y, como tal, fácilmente 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fecha 15 de febrero de 2005 en el que insistía en que, de no suspenderse la ejecución de las penas impuestas, se le ocasionaría un perjuicio irreparable, dado el fumus boni iuris existente a su favor que podría dar lugar a una resolución de este Tribunal favorable al otorgamiento del amparo solicitado, ya que, habiendo sido sustituida la pena de prisión que le fue impuesta por un tiempo total de seis años por su expulsión del territorio nacional, dicha expulsión le ocasionaría un perjuicio evidente al tener residencia legal, trabajo y arraigo en España.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no acordar la suspensión interesada en lo relativo a la pena privativa de libertad dado que, siendo el tiempo que de la misma le queda por cumplir al demandante de amparo superior a cinco años resulta previsible que la resolución acerca del amparo solicitado se produzca mucho antes de transcurrido dicho tiempo, lo que hace los intereses generales asociados a la ejecución de toda Sentencia penal en lo que a privación de libertad se refiere deban, en este caso, considerarse prevalentes. Procede asimismo denegar la suspensión de la ejecución de la pena de multa por tratarse de un pronunciamiento de naturaleza económica y, en consecuencia, reversible, ello sin perjuicio de que por la índole del caso sea aconsejable anticipar en el orden de señalamientos el conocimiento del presente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en este caso una consideración diferenciada de la sustitución de la prisión por expulsión del territorio nacional, a que se hace alusión por el recurrente en el escrito de alegaciones de este incidente, pues no se formula una petición específica de suspensión de tal forma de ejecución, sino sólo como un elemento de apoyo a la urgencia del pronunciamiento sobre la suspensión de la ejecución de la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las penas solicitada, ordenando la anticipación del conocimiento del presente proceso en el orden de señalamientos.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