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7114-2004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noviembre de 2005, la Procuradora de los Tribunales doña Isabel Soberón García de Enterría, bajo dirección letrada y en representación de la Diputación Provincial de Valencia, presentó en el Registro del Tribunal un escrito de interposición de conflicto en defensa de la autonomía local contra la disposición derogatoria única del Real Decreto-ley 2/2004, de 18 de junio, por el que se modifica la Ley 10/2001, 5 de junio, plan hidrológico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conflicto se plantea en los términos que se exponen a continuación: </w:t>
      </w:r>
    </w:p>
    <w:p w:rsidRPr="00C21FFE" w:rsidR="00AD51A7" w:rsidRDefault="00AD51A7">
      <w:pPr>
        <w:rPr/>
      </w:pPr>
      <w:r w:rsidRPr="&lt;w:rPr xmlns:w=&quot;http://schemas.openxmlformats.org/wordprocessingml/2006/main&quot;&gt;&lt;w:lang w:val=&quot;es-ES_tradnl&quot; /&gt;&lt;/w:rPr&gt;">
        <w:rPr/>
        <w:t xml:space="preserve">a) La demanda explicita, tanto en su encabezamiento como en su suplico, que el conflicto se formaliza en nombre y representación de la Diputación Provincial de Valencia. </w:t>
      </w:r>
    </w:p>
    <w:p w:rsidRPr="00C21FFE" w:rsidR="00AD51A7" w:rsidRDefault="00AD51A7">
      <w:pPr>
        <w:rPr/>
      </w:pPr>
      <w:r w:rsidRPr="&lt;w:rPr xmlns:w=&quot;http://schemas.openxmlformats.org/wordprocessingml/2006/main&quot;&gt;&lt;w:lang w:val=&quot;es-ES_tradnl&quot; /&gt;&lt;/w:rPr&gt;">
        <w:rPr/>
        <w:t xml:space="preserve">Asimismo, en el cuerpo de la demanda se indica que la provincia de Valencia es destinataria del Real Decreto-ley impugnado y promueve por ello el conflicto, si bien de acuerdo con lo dictaminado por el Consejo Jurídico Consultivo de la Comunidad Valenciana la legitimación para plantearlo no la tiene la Diputación de Valencia por separado, sino conjuntamente, con las de Alicante y Castellón, y así se promueve </w:t>
      </w:r>
    </w:p>
    <w:p w:rsidRPr="00C21FFE" w:rsidR="00AD51A7" w:rsidRDefault="00AD51A7">
      <w:pPr>
        <w:rPr/>
      </w:pPr>
      <w:r w:rsidRPr="&lt;w:rPr xmlns:w=&quot;http://schemas.openxmlformats.org/wordprocessingml/2006/main&quot;&gt;&lt;w:lang w:val=&quot;es-ES_tradnl&quot; /&gt;&lt;/w:rPr&gt;">
        <w:rPr/>
        <w:t xml:space="preserve">b) Entrando en la fundamentación jurídica, el escrito de interposición expone que se ha satisfecho los requisitos procesales y de fondo que son exigibles para plantear el conflicto. </w:t>
      </w:r>
    </w:p>
    <w:p w:rsidRPr="00C21FFE" w:rsidR="00AD51A7" w:rsidRDefault="00AD51A7">
      <w:pPr>
        <w:rPr/>
      </w:pPr>
      <w:r w:rsidRPr="&lt;w:rPr xmlns:w=&quot;http://schemas.openxmlformats.org/wordprocessingml/2006/main&quot;&gt;&lt;w:lang w:val=&quot;es-ES_tradnl&quot; /&gt;&lt;/w:rPr&gt;">
        <w:rPr/>
        <w:t xml:space="preserve">En cuanto a los requisitos procesales, se hace constar que los Plenos de las tres Diputaciones Provinciales (Valencia, Alicante y Castellón) aprobaron por mayoría absoluta iniciar la tramitación del conflicto y, al efecto, solicitaron individualizadamente el dictamen del Consejo Jurídico Consultivo de la Comunidad Valenciana. </w:t>
      </w:r>
    </w:p>
    <w:p w:rsidRPr="00C21FFE" w:rsidR="00AD51A7" w:rsidRDefault="00AD51A7">
      <w:pPr>
        <w:rPr/>
      </w:pPr>
      <w:r w:rsidRPr="&lt;w:rPr xmlns:w=&quot;http://schemas.openxmlformats.org/wordprocessingml/2006/main&quot;&gt;&lt;w:lang w:val=&quot;es-ES_tradnl&quot; /&gt;&lt;/w:rPr&gt;">
        <w:rPr/>
        <w:t xml:space="preserve">El Consejo Jurídico Consultivo de la Comunidad Valenciana emitió los tres dictámenes solicitados, remitiéndolos a la correspondiente Diputación Provincial. En dichos dictámenes (todos ellos iguales, salvo las referencias específicas a cada Diputación) se hace constar que dichas Diputaciones no gozan de legitimación activa individualizada para plantear el conflicto [art. 75.ter.1.a) LOTC(, pero pueden promoverlo conjuntamente [art. 75.ter.1.c) LOTC(. </w:t>
      </w:r>
    </w:p>
    <w:p w:rsidRPr="00C21FFE" w:rsidR="00AD51A7" w:rsidRDefault="00AD51A7">
      <w:pPr>
        <w:rPr/>
      </w:pPr>
      <w:r w:rsidRPr="&lt;w:rPr xmlns:w=&quot;http://schemas.openxmlformats.org/wordprocessingml/2006/main&quot;&gt;&lt;w:lang w:val=&quot;es-ES_tradnl&quot; /&gt;&lt;/w:rPr&gt;">
        <w:rPr/>
        <w:t xml:space="preserve">Según el escrito de interposición esta legitimación encuentra su fundamento en que el Real Decreto-ley 2/2004, objeto de conflicto, deroga una transferencia de hasta 315 hm3 de agua desde el Bajo Ebro y con destino al ámbito territorial del Plan Hidrológico del Júcar (art. 13.3 de la Ley 10/2001, del Plan Hidrológico Nacional), esto es, con destino a las provincias de Valencia, Alicante y Castellón. El conflicto se plantea, así, por todas las provincias de la cuenca destinataria y representando a la totalidad de su población oficial. </w:t>
      </w:r>
    </w:p>
    <w:p w:rsidRPr="00C21FFE" w:rsidR="00AD51A7" w:rsidRDefault="00AD51A7">
      <w:pPr>
        <w:rPr/>
      </w:pPr>
      <w:r w:rsidRPr="&lt;w:rPr xmlns:w=&quot;http://schemas.openxmlformats.org/wordprocessingml/2006/main&quot;&gt;&lt;w:lang w:val=&quot;es-ES_tradnl&quot; /&gt;&lt;/w:rPr&gt;">
        <w:rPr/>
        <w:t xml:space="preserve">c) En lo relativo al fondo del asunto, en la demanda se pone de relieve que los Entes Locales gozan de autonomía para la gestión de sus propios intereses, estando garantizada constitucionalmente la misma (arts. 137, 140 y 142 de la Constitución). </w:t>
      </w:r>
    </w:p>
    <w:p w:rsidRPr="00C21FFE" w:rsidR="00AD51A7" w:rsidRDefault="00AD51A7">
      <w:pPr>
        <w:rPr/>
      </w:pPr>
      <w:r w:rsidRPr="&lt;w:rPr xmlns:w=&quot;http://schemas.openxmlformats.org/wordprocessingml/2006/main&quot;&gt;&lt;w:lang w:val=&quot;es-ES_tradnl&quot; /&gt;&lt;/w:rPr&gt;">
        <w:rPr/>
        <w:t xml:space="preserve">Se ha configurado, doctrinal y jurisprudencialmente, esta autonomía local como “garantía institucional”, entendida como protección de la Constitución frente al legislador ordinario (STC 32/1981), protección que aunque no tiene un contenido concreto y predeterminado sí asegura la preservación de la institución y un contenido mínimo (STC 159/2001, con referencia a las SSTC 4/1981 y 32/1981). </w:t>
      </w:r>
    </w:p>
    <w:p w:rsidRPr="00C21FFE" w:rsidR="00AD51A7" w:rsidRDefault="00AD51A7">
      <w:pPr>
        <w:rPr/>
      </w:pPr>
      <w:r w:rsidRPr="&lt;w:rPr xmlns:w=&quot;http://schemas.openxmlformats.org/wordprocessingml/2006/main&quot;&gt;&lt;w:lang w:val=&quot;es-ES_tradnl&quot; /&gt;&lt;/w:rPr&gt;">
        <w:rPr/>
        <w:t xml:space="preserve">Los elementos esenciales o núcleo primario de la garantía local hay que buscarlos en la legislación básica en materia de régimen local, es decir, en la Ley 7/1985, 2 de abril, reguladora de las Bases del Régimen Local, que integra el canon o parámetro de constitucionalidad de la autonomía local (SSTC 27/1987 y 108/1998, entre otras), junto con las propias normas constitucionales y la de los correspondientes Estatutos de Autonomía. </w:t>
      </w:r>
    </w:p>
    <w:p w:rsidRPr="00C21FFE" w:rsidR="00AD51A7" w:rsidRDefault="00AD51A7">
      <w:pPr>
        <w:rPr/>
      </w:pPr>
      <w:r w:rsidRPr="&lt;w:rPr xmlns:w=&quot;http://schemas.openxmlformats.org/wordprocessingml/2006/main&quot;&gt;&lt;w:lang w:val=&quot;es-ES_tradnl&quot; /&gt;&lt;/w:rPr&gt;">
        <w:rPr/>
        <w:t xml:space="preserve">En este sentido, los arts. 2.1, 56.3 y 58.2 de la Ley 7/1985 garantizan el derecho a intervenir de los Entes Locales en los asuntos que afecten a sus intereses y, en concreto, en lo relativo a los instrumentos de planificación, programación y gestión de las obras y servicios que les afecten directamente. </w:t>
      </w:r>
    </w:p>
    <w:p w:rsidRPr="00C21FFE" w:rsidR="00AD51A7" w:rsidRDefault="00AD51A7">
      <w:pPr>
        <w:rPr/>
      </w:pPr>
      <w:r w:rsidRPr="&lt;w:rPr xmlns:w=&quot;http://schemas.openxmlformats.org/wordprocessingml/2006/main&quot;&gt;&lt;w:lang w:val=&quot;es-ES_tradnl&quot; /&gt;&lt;/w:rPr&gt;">
        <w:rPr/>
        <w:t xml:space="preserve">La legislación en materia de aguas, al regular la planificación hidrológica prevé la participación de los Entes Locales a través de la Federación Nacional de Municipios y Provincias, mediante su representación en el Pleno del Consejo Nacional del Agua (órgano consultivo superior en esta materia) y a través de su informe preceptivo (art. 19 del Texto Refundido de la Ley de Aguas, aprobado por Real Decreto Legislativo 1/2001, de 20 de julio). </w:t>
      </w:r>
    </w:p>
    <w:p w:rsidRPr="00C21FFE" w:rsidR="00AD51A7" w:rsidRDefault="00AD51A7">
      <w:pPr>
        <w:rPr/>
      </w:pPr>
      <w:r w:rsidRPr="&lt;w:rPr xmlns:w=&quot;http://schemas.openxmlformats.org/wordprocessingml/2006/main&quot;&gt;&lt;w:lang w:val=&quot;es-ES_tradnl&quot; /&gt;&lt;/w:rPr&gt;">
        <w:rPr/>
        <w:t xml:space="preserve">Pues bien, el legislador ordinario de la Ley 10/2001 sobre el Plan Hidrológico Nacional se atuvo a esta intervención, pero la misma se ha desconocido en la tramitación del Decreto-Ley ahora impugnado, vulnerando con ello la garantía constitucional de la autonomía local de las provincias impugnantes.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Provincial de Valencia ha planteado ante este Tribunal conflicto en defensa de la autonomía local contra la disposición derogatoria única del Real Decreto-ley 2/2004, de 18 de junio, por el que se modifica la Ley 10/2001, 5 de julio, plan hidrológico nacional.</w:t>
      </w:r>
    </w:p>
    <w:p w:rsidRPr="00C21FFE" w:rsidR="00AD51A7" w:rsidRDefault="00AD51A7">
      <w:pPr>
        <w:rPr/>
      </w:pPr>
      <w:r w:rsidRPr="&lt;w:rPr xmlns:w=&quot;http://schemas.openxmlformats.org/wordprocessingml/2006/main&quot;&gt;&lt;w:lang w:val=&quot;es-ES_tradnl&quot; /&gt;&lt;/w:rPr&gt;">
        <w:rPr/>
        <w:t xml:space="preserve">El conflicto se sustenta en que dicha disposición derogatoria al ejercer su efecto sobre el art. 13.3 de la citada Ley 10/2001 habría vulnerado, por los motivos que se recogen en el antecedente segundo, la autonomía local constitucionalmente garantizada que ostenta la provincia de Valencia, si bien el escrito de interposición matiza que la legitimación legalmente exigida [art. 75.ter.1 c) LOTC( se satisface al promoverse el conflicto conjuntamente con las Diputaciones de Alicante y Castellón.</w:t>
      </w:r>
    </w:p>
    <w:p w:rsidRPr="00C21FFE" w:rsidR="00AD51A7" w:rsidRDefault="00AD51A7">
      <w:pPr>
        <w:rPr/>
      </w:pPr>
      <w:r w:rsidRPr="&lt;w:rPr xmlns:w=&quot;http://schemas.openxmlformats.org/wordprocessingml/2006/main&quot;&gt;&lt;w:lang w:val=&quot;es-ES_tradnl&quot; /&gt;&lt;/w:rPr&gt;">
        <w:rPr/>
        <w:t xml:space="preserve">El art. 75.quinquies LOTC dispone que “planteado el conflicto, el Tribunal podrá acordar, mediante Auto motivado, la inadmisión por falta de legitimación u otros requisitos exigibles y no subsanables o cuando estuviere notoriamente infundada la controversia suscitada”.</w:t>
      </w:r>
    </w:p>
    <w:p w:rsidRPr="00C21FFE" w:rsidR="00AD51A7" w:rsidRDefault="00AD51A7">
      <w:pPr>
        <w:rPr/>
      </w:pPr>
      <w:r w:rsidRPr="&lt;w:rPr xmlns:w=&quot;http://schemas.openxmlformats.org/wordprocessingml/2006/main&quot;&gt;&lt;w:lang w:val=&quot;es-ES_tradnl&quot; /&gt;&lt;/w:rPr&gt;">
        <w:rPr/>
        <w:t xml:space="preserve">El objeto de esta resolución es valorar si la Diputación Provincial de Valencia satisface los requisitos necesarios para la interposición del conflicto, al promoverlo conjuntamente con las Diputaciones de Alicante y Castellón.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exigible para plantear el conflicto en defensa de la autonomía local, primero de los requisitos insubsanables a que hace referencia el art. 75.quinquies LOTC, se encuentra regulada en el art. 75.ter.1 de la propia LOTC, que la atribuye a los municipios y provincias en que la Ley resulte aplicable, pudiendo aquellos entes locales hacerlo aisladamente o en forma conjunta (en este último caso con exigencia, además, de que dichos municipios o provincias representen determinados porcentajes de la población correspondiente al ámbito de aplicación de la Ley).</w:t>
      </w:r>
    </w:p>
    <w:p w:rsidRPr="00C21FFE" w:rsidR="00AD51A7" w:rsidRDefault="00AD51A7">
      <w:pPr>
        <w:rPr/>
      </w:pPr>
      <w:r w:rsidRPr="&lt;w:rPr xmlns:w=&quot;http://schemas.openxmlformats.org/wordprocessingml/2006/main&quot;&gt;&lt;w:lang w:val=&quot;es-ES_tradnl&quot; /&gt;&lt;/w:rPr&gt;">
        <w:rPr/>
        <w:t xml:space="preserve">La Diputación Provincial de Valencia promueve el conflicto de modo conjunto con las de Alicante y Castellón, por lo que deberá satisfacerse la exigencia regulada en el apartado c) del citado art. 75.ter.1 LOTC, que prevé la legitimación de “un número de provincias que supongan al menos la mitad de las existentes en el ámbito territorial de aplicación de la disposición con rango de Ley, y representan la mitad de la población”.</w:t>
      </w:r>
    </w:p>
    <w:p w:rsidRPr="00C21FFE" w:rsidR="00AD51A7" w:rsidRDefault="00AD51A7">
      <w:pPr>
        <w:rPr/>
      </w:pPr>
      <w:r w:rsidRPr="&lt;w:rPr xmlns:w=&quot;http://schemas.openxmlformats.org/wordprocessingml/2006/main&quot;&gt;&lt;w:lang w:val=&quot;es-ES_tradnl&quot; /&gt;&lt;/w:rPr&gt;">
        <w:rPr/>
        <w:t xml:space="preserve">Por tanto, debemos valorar si las tres provincias aludidas satisfacen los requisitos de legitimación exigidos.</w:t>
      </w:r>
    </w:p>
    <w:p w:rsidRPr="00C21FFE" w:rsidR="00AD51A7" w:rsidRDefault="00AD51A7">
      <w:pPr>
        <w:rPr/>
      </w:pPr>
      <w:r w:rsidRPr="&lt;w:rPr xmlns:w=&quot;http://schemas.openxmlformats.org/wordprocessingml/2006/main&quot;&gt;&lt;w:lang w:val=&quot;es-ES_tradnl&quot; /&gt;&lt;/w:rPr&gt;">
        <w:rPr/>
        <w:t xml:space="preserve">A tal fin, procede reproducir la disposición derogatoria única del Real Decreto-ley 2/2004. La misma dispone:</w:t>
      </w:r>
    </w:p>
    <w:p w:rsidRPr="00C21FFE" w:rsidR="00AD51A7" w:rsidRDefault="00AD51A7">
      <w:pPr>
        <w:rPr/>
      </w:pPr>
      <w:r w:rsidRPr="&lt;w:rPr xmlns:w=&quot;http://schemas.openxmlformats.org/wordprocessingml/2006/main&quot;&gt;&lt;w:lang w:val=&quot;es-ES_tradnl&quot; /&gt;&lt;/w:rPr&gt;">
        <w:rPr/>
        <w:t xml:space="preserve">“1. Quedan derogados los arts. 13, 16, 17, 18, 19, 21, 22, 23 y 36.4, segundo inciso (desde: ‘Por dicha razón...’, hasta: ‘... la presente Ley'), de la Ley 10/2001, 5 de julio, plan hidrológico nacional.</w:t>
      </w:r>
    </w:p>
    <w:p w:rsidRPr="00C21FFE" w:rsidR="00AD51A7" w:rsidRDefault="00AD51A7">
      <w:pPr>
        <w:rPr/>
      </w:pPr>
      <w:r w:rsidRPr="&lt;w:rPr xmlns:w=&quot;http://schemas.openxmlformats.org/wordprocessingml/2006/main&quot;&gt;&lt;w:lang w:val=&quot;es-ES_tradnl&quot; /&gt;&lt;/w:rPr&gt;">
        <w:rPr/>
        <w:t xml:space="preserve">2.Queda derogado el art. 125 de la Ley 62/2003, 30 de diciembre, medidas fiscales, administrativas y del orden social, y cuantas disposiciones se opongan a lo dispuesto en este Real Decreto-ley”.</w:t>
      </w:r>
    </w:p>
    <w:p w:rsidRPr="00C21FFE" w:rsidR="00AD51A7" w:rsidRDefault="00AD51A7">
      <w:pPr>
        <w:rPr/>
      </w:pPr>
      <w:r w:rsidRPr="&lt;w:rPr xmlns:w=&quot;http://schemas.openxmlformats.org/wordprocessingml/2006/main&quot;&gt;&lt;w:lang w:val=&quot;es-ES_tradnl&quot; /&gt;&lt;/w:rPr&gt;">
        <w:rPr/>
        <w:t xml:space="preserve">Hay que señalar que el escrito de formalización del conflicto impugna la disposición derogatoria reproducida como consecuencia del efecto derogatorio que la misma produce en el art. 13.3 de la Ley 10/2001, del Plan Hidrológico Nacional. Dicho art.  13.3 prevé:</w:t>
      </w:r>
    </w:p>
    <w:p w:rsidRPr="00C21FFE" w:rsidR="00AD51A7" w:rsidRDefault="00AD51A7">
      <w:pPr>
        <w:rPr/>
      </w:pPr>
      <w:r w:rsidRPr="&lt;w:rPr xmlns:w=&quot;http://schemas.openxmlformats.org/wordprocessingml/2006/main&quot;&gt;&lt;w:lang w:val=&quot;es-ES_tradnl&quot; /&gt;&lt;/w:rPr&gt;">
        <w:rPr/>
        <w:t xml:space="preserve">“La transferencia de un volumen anual de hasta 315 hm3, con origen en la zona del Bajo Ebro del Plan Hidrológico de la cuenca del Ebro y con destino en el ámbito territorial del Plan Hidrológico del Júcar”.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Podemos adelantar que las provincias de Valencia, Alicante y Castellón no satisfacen los requisitos de legitimación exigidos por el art. 75.ter.1 c) LOTC para impugnar conjuntamente el efecto derogatorio producido en el art. 13.3 de la Ley 10/2001 del Plan Hidrológico Nacional por la disposición derogatoria única impugnada.</w:t>
      </w:r>
    </w:p>
    <w:p w:rsidRPr="00C21FFE" w:rsidR="00AD51A7" w:rsidRDefault="00AD51A7">
      <w:pPr>
        <w:rPr/>
      </w:pPr>
      <w:r w:rsidRPr="&lt;w:rPr xmlns:w=&quot;http://schemas.openxmlformats.org/wordprocessingml/2006/main&quot;&gt;&lt;w:lang w:val=&quot;es-ES_tradnl&quot; /&gt;&lt;/w:rPr&gt;">
        <w:rPr/>
        <w:t xml:space="preserve">El art. 13.3 de la Ley 10/2001 preveía un trasvase de agua desde “la zona del Bajo Ebro del Plan Hidrológico de la Cuenca del Ebro y con destino en el ámbito territorial del Plan Hidrológico del Júcar”. Debemos valorar si de acuerdo con lo regulado en este precepto las provincias de Valencia, Alicante y Castellón satisfacen el requisito de legitimación conjunta establecido en el art. 75.ter.1.c) LOTC.</w:t>
      </w:r>
    </w:p>
    <w:p w:rsidRPr="00C21FFE" w:rsidR="00AD51A7" w:rsidRDefault="00AD51A7">
      <w:pPr>
        <w:rPr/>
      </w:pPr>
      <w:r w:rsidRPr="&lt;w:rPr xmlns:w=&quot;http://schemas.openxmlformats.org/wordprocessingml/2006/main&quot;&gt;&lt;w:lang w:val=&quot;es-ES_tradnl&quot; /&gt;&lt;/w:rPr&gt;">
        <w:rPr/>
        <w:t xml:space="preserve">En lo atinente a cual sea el ámbito territorial que resulta afectado por la transferencia de agua no podemos dejar de tener en cuenta la regulación que, respecto de las cuencas hidrográficas, se contiene en la Ley 29/1985, de Aguas, en concreto en sus arts. 14 y 15, y también nuestra doctrina constitucional correlativa (STC 227/1988).</w:t>
      </w:r>
    </w:p>
    <w:p w:rsidRPr="00C21FFE" w:rsidR="00AD51A7" w:rsidRDefault="00AD51A7">
      <w:pPr>
        <w:rPr/>
      </w:pPr>
      <w:r w:rsidRPr="&lt;w:rPr xmlns:w=&quot;http://schemas.openxmlformats.org/wordprocessingml/2006/main&quot;&gt;&lt;w:lang w:val=&quot;es-ES_tradnl&quot; /&gt;&lt;/w:rPr&gt;">
        <w:rPr/>
        <w:t xml:space="preserve">El art. 14 de la Ley 29/1985, de Aguas, indica que “se entiende por cuenca hidrográfica el territorio en que las aguas fluyen al mar a través de una red de cauces secundarios que convergen en un cauce principal único. La cuenca hidrográfica, como unidad de gestión del recurso, se considera indivisible”. Y el art. 15 a) de la misma Ley prevé que en relación con el dominio público hidráulico el Estado ejercerá especialmente “la planificación hidrográfica y la realización de los planes estatales de infraestructuras hidráulicas”.</w:t>
      </w:r>
    </w:p>
    <w:p w:rsidRPr="00C21FFE" w:rsidR="00AD51A7" w:rsidRDefault="00AD51A7">
      <w:pPr>
        <w:rPr/>
      </w:pPr>
      <w:r w:rsidRPr="&lt;w:rPr xmlns:w=&quot;http://schemas.openxmlformats.org/wordprocessingml/2006/main&quot;&gt;&lt;w:lang w:val=&quot;es-ES_tradnl&quot; /&gt;&lt;/w:rPr&gt;">
        <w:rPr/>
        <w:t xml:space="preserve">En relación con estas previsiones normativas el Tribunal Constitucional, en su STC 227/1988 declaró:</w:t>
      </w:r>
    </w:p>
    <w:p w:rsidRPr="00C21FFE" w:rsidR="00AD51A7" w:rsidRDefault="00AD51A7">
      <w:pPr>
        <w:rPr/>
      </w:pPr>
      <w:r w:rsidRPr="&lt;w:rPr xmlns:w=&quot;http://schemas.openxmlformats.org/wordprocessingml/2006/main&quot;&gt;&lt;w:lang w:val=&quot;es-ES_tradnl&quot; /&gt;&lt;/w:rPr&gt;">
        <w:rPr/>
        <w:t xml:space="preserve">“Desde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(STC 227/1988, de 29 de noviembre FJ 15).</w:t>
      </w:r>
    </w:p>
    <w:p w:rsidRPr="00C21FFE" w:rsidR="00AD51A7" w:rsidRDefault="00AD51A7">
      <w:pPr>
        <w:rPr/>
      </w:pPr>
      <w:r w:rsidRPr="&lt;w:rPr xmlns:w=&quot;http://schemas.openxmlformats.org/wordprocessingml/2006/main&quot;&gt;&lt;w:lang w:val=&quot;es-ES_tradnl&quot; /&gt;&lt;/w:rPr&gt;">
        <w:rPr/>
        <w:t xml:space="preserve">Comenzando nuestro examen por la determinación del ámbito territorial de destino del agua, hay que tener en cuenta el art. 1.7 del Real Decreto 650/1987, que prevé lo siguiente:</w:t>
      </w:r>
    </w:p>
    <w:p w:rsidRPr="00C21FFE" w:rsidR="00AD51A7" w:rsidRDefault="00AD51A7">
      <w:pPr>
        <w:rPr/>
      </w:pPr>
      <w:r w:rsidRPr="&lt;w:rPr xmlns:w=&quot;http://schemas.openxmlformats.org/wordprocessingml/2006/main&quot;&gt;&lt;w:lang w:val=&quot;es-ES_tradnl&quot; /&gt;&lt;/w:rPr&gt;">
        <w:rPr/>
        <w:t xml:space="preserve">“Confederación Hidrográfica del Júcar.— Comprende el territorio de las cuencas hidrográficas que vierten al mar Mediterráneo entre la margen izquierda de la Gola del Segura en su desembocadura del río Cenia, incluida su cuenca; además la cuenca endorreica de Pozohondo”.</w:t>
      </w:r>
    </w:p>
    <w:p w:rsidRPr="00C21FFE" w:rsidR="00AD51A7" w:rsidRDefault="00AD51A7">
      <w:pPr>
        <w:rPr/>
      </w:pPr>
      <w:r w:rsidRPr="&lt;w:rPr xmlns:w=&quot;http://schemas.openxmlformats.org/wordprocessingml/2006/main&quot;&gt;&lt;w:lang w:val=&quot;es-ES_tradnl&quot; /&gt;&lt;/w:rPr&gt;">
        <w:rPr/>
        <w:t xml:space="preserve">En definitiva, la Cuenca Hidrográfica del Júcar, beneficiaria del trasvase, transcurre por los territorios de las Comunidades Autónomas de Aragón, Castilla-La Mancha, Cataluña y Comunidad Valenciana (art. 3 del citado Real Decreto 650/1987) y, en concreto, por las siete provincias siguientes: Teruel, Albacete, Cuenca, Tarragona, Alicante, Castellón y Valencia.</w:t>
      </w:r>
    </w:p>
    <w:p w:rsidRPr="00C21FFE" w:rsidR="00AD51A7" w:rsidRDefault="00AD51A7">
      <w:pPr>
        <w:rPr/>
      </w:pPr>
      <w:r w:rsidRPr="&lt;w:rPr xmlns:w=&quot;http://schemas.openxmlformats.org/wordprocessingml/2006/main&quot;&gt;&lt;w:lang w:val=&quot;es-ES_tradnl&quot; /&gt;&lt;/w:rPr&gt;">
        <w:rPr/>
        <w:t xml:space="preserve">Por tanto, la impugnación conjunta por parte de las tres provincias de Valencia, Alicante y Castellón no satisface la legitimación exigida por el art. 75.ter.1 c) LOTC, pues dichas tres provincias no constituyen “al menos la mitad de las existentes en el ámbito de aplicación de la disposición”.</w:t>
      </w:r>
    </w:p>
    <w:p w:rsidRPr="00C21FFE" w:rsidR="00AD51A7" w:rsidRDefault="00AD51A7">
      <w:pPr>
        <w:rPr/>
      </w:pPr>
      <w:r w:rsidRPr="&lt;w:rPr xmlns:w=&quot;http://schemas.openxmlformats.org/wordprocessingml/2006/main&quot;&gt;&lt;w:lang w:val=&quot;es-ES_tradnl&quot; /&gt;&lt;/w:rPr&gt;">
        <w:rPr/>
        <w:t xml:space="preserve">Esta conclusión hace innecesaria ninguna otra valoración complementaria sobre el ámbito territorial afectado por la derogación.</w:t>
      </w:r>
    </w:p>
    <w:p w:rsidRPr="00C21FFE" w:rsidR="00AD51A7" w:rsidRDefault="00AD51A7">
      <w:pPr>
        <w:rPr/>
      </w:pPr>
      <w:r w:rsidRPr="&lt;w:rPr xmlns:w=&quot;http://schemas.openxmlformats.org/wordprocessingml/2006/main&quot;&gt;&lt;w:lang w:val=&quot;es-ES_tradnl&quot; /&gt;&lt;/w:rPr&gt;">
        <w:rPr/>
        <w:t xml:space="preserve">En definitiva, de cuanto se ha expuesto hasta aquí se desprende que la Diputación Provincial de Valencia no está legitimada para interponer, conjuntamente con las de Alicante y Castellón, el presente conflicto de autonomía local de acuerdo con lo exigido en el art. 75.ter.1 c) LOTC, lo que lleva a la conclusión que el conflicto en defensa de la autonomía local interpuesto incurre en un defecto de procedibilidad insubsanable.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