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5099-2004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5099-2004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5099-2004, promovido por don Rafael del Campo Gijón.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julio de 2004 la Procuradora de los Tribunales doña Rosa María Álvarez Alonso, en nombre y representación de don Rafael del Campo Gijón, interpuso recurso de amparo contra el Auto de la Sección Cuarta de la Audiencia Provincial de Valencia de 2 de julio de 2004 recaído en el rollo de incidente de nulidad de actuaciones 135-2004 promovido contra la Sentencia de la Sala de 17 de mayo de 2004 dictada en el rollo de apelación 135-2004, en la que se confirmaba la Sentencia del Juzgado de Instrucción núm. 3 de Valencia en la que se condenaba al recurrente, como autor responsable de una falta de estafa, a una pena de multa de dos meses con una cuota diaria de 300 € (total de 18.000 €), al pago de las responsabilidades civiles (ya satisfechas) y al pago de las costas. </w:t>
      </w:r>
    </w:p>
    <w:p w:rsidRPr="00C21FFE" w:rsidR="00AD51A7" w:rsidRDefault="00AD51A7">
      <w:pPr>
        <w:rPr/>
      </w:pPr>
      <w:r w:rsidRPr="&lt;w:rPr xmlns:w=&quot;http://schemas.openxmlformats.org/wordprocessingml/2006/main&quot;&gt;&lt;w:lang w:val=&quot;es-ES_tradnl&quot; /&gt;&lt;/w:rPr&gt;">
        <w:rPr/>
        <w:t xml:space="preserve">La representación procesal del recurrente impugna en amparo la Sentencia dictada por la Audiencia Provincial de Valencia por considerarla lesiva para su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abril de 2006 la Sala Segunda de este Tribunal acordó admitir a trámite el presente recurso de amparo y formar la correspondiente pieza para la tramitación del incidente de suspensión, de conformidad con lo solicitado por la parte actora, concediendo un plazo común de tres días a la parte recurrente y al Ministerio Fiscal para que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mediante escrito registrado con fecha 25 de abril de 2006, formuló alegaciones con las que reiteraba su petición de suspensión de la condena de multa, puesto que su impago podría acarrear el cumplimiento de una pena de arresto sustitutorio, cuya ejecución haría inútil el presente proceso constitucional. Hizo notar, además, que se ha procedido al pago de las responsabilidades civiles, por lo que las víctimas de la falta de estafa ya han sido convenientemente resarcidas.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registrado el 3 de mayo de 2006, se opuso a la suspensión solicitada, puesto que, dado que la condena impuesta tiene carácter patrimonial, es por definición plenamente reversible en el supuesto de que se conceda el amparo en su día interesado, conforme a la orientación marcada en el FJ 2 del ATC 241/2005. En esta resolución el Tribunal entiende que la suspensión tampoco procede en lo que atañe a la eventual responsabilidad personal que se pudiera derivar del impago de la multa impuesta, ya que la misma dependería de que la multa no fuera abonada voluntariamente o por la vía de apremio, así como porque, en todo caso, en el supuesto de que sobreviniera, podría dar lugar a la modificación de la medida cautelar que se acuerde en este momento. El Fiscal recuerda que el art. 57 LOTC permitiría reabrir la cuestión ante este Tribunal y que, en caso de conferirse el amparo, éste no supondría la eliminación de la multa impuesta, sino la necesidad de que el órgano judicial motive sobre su imposición en la nueva sentencia que dicte. Concluye el Fiscal su escrito señalando que por idénticas razones de reparabilidad debería denegarse la suspensión del pago de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el art. 56.1 LOTC, con la restricción también contemplada en él. La suspensión es una medida cautelar que se apoya en el riesgo o certeza de que la ejecución ocasionará un perjuicio que hará perder al amparo su finalidad, dando a una eventual Sentencia favorable efectos meramente declarativos. La suspensión preventiva de la resolución, acto o disposición impugnados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a ello ha de añadirse que este Tribunal, al pronunciarse sobre la suspensión solicitada,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AATC 243/2000, de 16 de octubre; 251/2000, de 30 de octubre; 63/2001, de 26 de marzo, y 170/2001, de 22 de junio)” (ATC 198/2006, de 19 de junio, FJ 1).</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293/2001, de 26 de noviembre, FJ 1 y 211/2004, de 2 junio, FJ 2,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(ATC 149/2006, de 8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presente petición de suspensión resulta evidente que (como hemos señalado en el FJ 2 del último Auto citado) “tanto las penas de multa e indemnización como el pronunciamiento referido a las costas procesales son reconducibles a términos económicos, por lo que les resulta aplicable la doctrina recogida en el último párrafo del fundamento jurídico anterior; tanto más cuanto el actor, que no ha formulado alegación alguna en el presente incidente, ni siquiera ha intentado justificar el carácter irreversible de los daños que podría ocasionarle el cumplimiento de la condena impuesta. En el caso ahora enjuiciado el recurrente se limita a afirmar, en términos apodícticos, que la solicitud de suspensión se formula “con el fin de evitar daños y perjuicios de imposible reparación”. En tales circunstancias hemos de concluir que no procede la suspensión de las mencionadas penas.</w:t>
      </w:r>
    </w:p>
    <w:p w:rsidRPr="00C21FFE" w:rsidR="00AD51A7" w:rsidRDefault="00AD51A7">
      <w:pPr>
        <w:rPr/>
      </w:pPr>
      <w:r w:rsidRPr="&lt;w:rPr xmlns:w=&quot;http://schemas.openxmlformats.org/wordprocessingml/2006/main&quot;&gt;&lt;w:lang w:val=&quot;es-ES_tradnl&quot; /&gt;&lt;/w:rPr&gt;">
        <w:rPr/>
        <w:t xml:space="preserve">En segundo término, en cuanto a la responsabilidad personal subsidiaria para el caso de impago de la pena de multa, hemos de convenir con el Ministerio Fiscal en que se trata de una eventualidad incierta, “que depende de que, efectivamente, la multa no llegue a ser abonada voluntariamente o por la vía de apremio y, en cualquier caso, de una eventualidad futura” que, en caso de sobrevenir, podría dar lugar a la modificación de la decisión que ahora se adopte, en virtud de lo dispuesto en el art. 57 LOTC (por todos, ATC 369/2004, de 4 de octubre)” (ATC 149/2006, de 8 de mayo, FJ 2 in fine).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5099-2004, promovido por don Rafael del Campo Gijón.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