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6465-2004, promovido por “Triturados Reylo,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octubre de 2004 tuvo entrada en el Registro de este Tribunal escrito firmado por el Procurador de los Tribunales don Manuel Infante Sánchez, en representación de la Mercantil “Triturados Reylo, S.A.”, en virtud del cual interponía recurso de amparo contra el Auto de 29 de julio de 2004 de la Sección Primera de la Sala de lo Contencioso-Administrativo del Tribunal Superior de Justicia de Murcia, que desestimó el incidente de nulidad de actuaciones interpuesto por la demandante de amparo contra Auto de 9 de febrero de 2004 que, a su vez, desestima el recurso de súplica interpuesto frente a la providencia de 10 de diciembre de 2003, que declaraba la caducidad, por no presentación de la demanda dentro del término de veinte días concedido al efecto en el procedimiento ordinario núm. 1940-2003. Dicho recurso contencioso-administrativo se interponía contra Resoluciones de la Consejería de Ciencia, Tecnología, Industria y Comercio de la Región de Murcia, dictadas en expediente sancionador en el que se imponía a la mercantil recurrente una sanción de 27.210 euros.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denuncia la vulneración del derecho a la tutela judicial efectiva (art. 24.1 CE) como consecuencia de no habérsele admitido la presentación de la demanda realizada en plazo al amparo del art. 135.1 LEC, y mediante Otrosí interesa la suspensión de la ejecución de los dos Autos recurridos “por cuanto la ejecución puede ocasionar un perjuicio a mi mandante que haría perder al amparo su finalidad”, sin que se produzca perturbación de intereses generales ni de terceros, ofreciendo la caución que la Sala estime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20 de octubre de 2006 la Sala Segunda decidió admitir a trámite el presente recurso de amparo, acordando asimismo que se formara pieza separada para tramitar la suspensión interesada por la actora, concediendo, conforme a lo dispuesto en el art. 56 LOTC,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presentó escrito en este Tribunal el 29 de octubre de 2006, en el que reitera los argumentos expuestos en su escrito de demanda, en el que se explica que el perjuicio que produciría la no suspensión de los Autos impugnados vendría de la devolución ya acordada del expediente a la Administración y de la ejecución de la sanción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4 de diciembre de 2006, tras recordar la doctrina constitucional al respecto, considera que la sanción impuesta le origina a la recurrente únicamente perjuicios de carácter económico. Por ello, en “su solicitud de suspensión, la demandante de amparo se limita a invocar […] un genérico perjuicio, que ni siquiera califica de irreparable, sin concretarlo ni justificarlo”; por lo demás, entiende que “la cuantía de la sanción no es tan elevada que, por sí misma, pueda hacer considerar que el perjuicio que pueda causarse a la compañía demandante de amparo deba ser considerado irreparable” Por todo lo cual se opone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211/2004, de 2 junio, FJ 2, y 149/2006, de 8 de mayo, FJ 1,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hay que señalar que la recurrente se limita a alegar, en síntesis, que la ejecución puede ocasionarle un perjuicio que haría perder al amparo su finalidad, pero ni concreta en qué consistiría ese perjuicio ni acredita la irreparabilidad que para sus derechos fundamentales pueda conllevar dicha ejecución. Por lo demás, el montante de la sanción controvertida (27.210 euros) no permite augurar que su eventual ejecución derive en un efectivo perjuicio irreparable para la entidad demandante. Por tanto, versando todo el litigio sobre una sanción administrativa de contenido económico, le resulta aplicable la doctrina recogida en el último párrafo del fundamento jurídico anterior, debiendo reafirmarse el interés público en el cumplimiento de las resoluciones judiciales, lo que nos lleva a concluir que no procede la suspensión de las resoluciones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6465-2004, promovido por “Triturados Reylo,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dieciocho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