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Primera de la Audiencia Provincial de Madrid de 26 de diciembre de 2006, recaída en el recurso de apelación núm. 122-2006 interpuesto contra la dictada por el Juzgado de lo Penal núm. 26 de</w:t>
            </w:r>
          </w:p>
          <w:p w:rsidRPr="00D13423" w:rsidR="00AD51A7" w:rsidRDefault="00AD51A7">
            <w:pPr>
              <w:rPr/>
            </w:pPr>
            <w:r w:rsidRPr="&lt;w:rPr xmlns:w=&quot;http://schemas.openxmlformats.org/wordprocessingml/2006/main&quot;&gt;&lt;w:color w:val=&quot;800080&quot; /&gt;&lt;w:szCs w:val=&quot;24&quot; /&gt;&lt;/w:rPr&gt;">
              <w:rPr/>
              <w:t xml:space="preserve">Madrid en juicio oral núm. 397-2005 el día 11 de enero de 2006, exclusivamente en lo que se refiere a la pena de siete meses de prisión por cada uno de los cuatro delitos contra la Hacienda pública impuesta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febrero de 2007, el Procurador de los Tribunales don Jesús Jenaro Tejada, en nombre y representación de don José Antonio Hurtado García, interpuso recurso de amparo contra la Sentencia de la Sección Primera de la Audiencia Provincial de Madrid, de 26 de diciembre de 2006, recaída en el recurso de apelación núm. 122-2006 interpuesto contra la dictada por el Juzgado de lo Penal núm. 26 de Madrid en juicio oral núm. 397-2005 el día 11 de enero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 11 de enero de 2006, dictada por el Juzgado de lo Penal núm. 26 de Madrid, como autor de cuatro delitos contra la Hacienda pública, sin la concurrencia de circunstancias modificativas de la responsabilidad criminal, a la pena de siete meses de prisión por cada uno de ellos, con la accesoria de inhabilitación especial para el derecho de sufragio pasivo durante el tiempo de la condena y pérdida de la posibilidad de obtener subvenciones públicas o crédito oficial y del derecho de gozar beneficios o incentivos fiscales durante tres años y multa. </w:t>
      </w:r>
    </w:p>
    <w:p w:rsidRPr="00C21FFE" w:rsidR="00AD51A7" w:rsidRDefault="00AD51A7">
      <w:pPr>
        <w:rPr/>
      </w:pPr>
      <w:r w:rsidRPr="&lt;w:rPr xmlns:w=&quot;http://schemas.openxmlformats.org/wordprocessingml/2006/main&quot;&gt;&lt;w:lang w:val=&quot;es-ES_tradnl&quot; /&gt;&lt;/w:rPr&gt;">
        <w:rPr/>
        <w:t xml:space="preserve">b) Por la representación del Sr. Hurtado García se interpuso recurso de apelación. Por Sentencia de fecha 26 de diciembre de 2006 la Sección Primera de la Audiencia Provincial de Madrid confirmó la condena impuesta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el derecho del recurrente a la tutela judicial efectiva (art. 24.1 CE), dado que los delitos por los que ha sido condenado han prescrito, habiendo ignorado el Juzgado la STC 63/2005, de 14 de marzo, del derecho a no sufrir dilaciones indebidas (art. 24.2 CE), así como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Mediante otrosí, solicitó que se acordase la suspensión de pena privativa de libertad y accesoria de derechos impuesta al recurrente hasta tanto no se resuelva el presente recurso de amparo, dado que de no suspenderse la ejecución de la misma se ocasionaría un perjuicio irreparable que dejaría totalmente en entredicho la eficacia de un eventual fallo 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2008, dictada por la Sala Segunda del Tribunal Constitucional, se acordó admitir a trámite la demanda. Por otra providencia de esa misma fecha la Sala acordó formar la correspondiente pieza separada de suspensión, de conformidad con lo solicitado por el demandante, y, de acuerdo con lo prevenido en el art. 56 de la Ley Orgánica del Tribunal Constitucional, conceder un plazo común de tres días al Ministerio Fiscal y al solicitante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trámite de alegaciones mediante escrito registrado en este Tribunal con fecha de 13 de mayo de 2008, en el que, tomando en consideración, entre otros factores, su duración, interesó la suspensión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su parte, evacuó idéntico trámite mediante escrito registrado en este Tribunal el día 12 de mayo de 2008, en el que insistía en su anterior alegación acerca de que la no concesión de la suspensión de la pena solicitada haría perder al amparo su legítima finalidad porque ocasionaría al demandante un perjuicio irreparable caso de estimarse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(por todos, ATC 16/2008, de 21 de enero, FJ 1). Esta doctrina resulta igualmente aplicable a la condena en costas procesales, pues, al entrañar un pago en dinero, su ejecución no provoca ningún perjuicio que pueda hacer inútil el recurso de amparo.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obliga a considerar, si se compara la duración de la pena privativa de libertad impuesta al demandante (una pena inferior a cinco años de prisión, en su cómputo total: sin perjuicio de la fijación del límite máximo de cumplimiento, cuatro penas de siete meses de prisión) con el tiempo que requiere normalmente la tramitación de un proceso de amparo como el presente, que no suspender su ejecución ocasionaría a aquél un perjuicio irreparable que dejaría totalmente en entredicho la eficacia de un eventual fallo estimatorio de la demanda de amparo, por cuanto la pena de prisión estaría previsiblemente ya cumplida. Por otro lado, atendidas todas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al recurrente perjuicios de muy difícil o imposible reparación, por lo que, en aplicación del principio de proporcionalidad, ha de acordarse la suspensión de la pena privativa de libertad impuesta en la Sentencia recurrida, debiéndose extender dicha suspensión a la pena accesoria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no procede la suspensión del resto de pronunciamientos condenatorios que contiene la Sentencia antedicha, esto es, la pena de multa y la condena al pago de las costas de la instancia, puesto que, al dato de que el recurrente no realiza una concreta solicitud en tal sentido en su demanda, como tampoco en el posterior escrito de alegaciones —en el que se refiere únicamente a la pena privativa de libertad—, ni argumenta ningún perjuicio irreparable que pudiera provocar su ejecución, ha de agregarse nuestra bien conocida doctrina en el sentido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(AATC 460/2006, de 18 de diciembre, FJ 1, 362/2007, de 10 de septiembre, FJ 1 y ATC 109/2008, de 14 de abril, FJ 4).</w:t>
      </w:r>
    </w:p>
    <w:p w:rsidRPr="00C21FFE" w:rsidR="00AD51A7" w:rsidRDefault="00AD51A7">
      <w:pPr>
        <w:rPr/>
      </w:pPr>
      <w:r w:rsidRPr="&lt;w:rPr xmlns:w=&quot;http://schemas.openxmlformats.org/wordprocessingml/2006/main&quot;&gt;&lt;w:lang w:val=&quot;es-ES_tradnl&quot; /&gt;&lt;/w:rPr&gt;">
        <w:rPr/>
        <w:t xml:space="preserve">Tampoco procede la suspensión de la ejecución de la Sentencia en cuanto a la pena de pérdida de la posibilidad de obtener subvenciones públicas o crédito oficial y del derecho de gozar beneficios fiscales durante cuatro años, dada la evidente incidencia de ésta sobre los intereses generales, sin que por otra parte se haya acreditado los perjuicios que ello le reportaría ni su irreparabilidad (ATC 249/2007, de 22 de mayo, FJ 3).</w:t>
      </w:r>
    </w:p>
    <w:p w:rsidRPr="00C21FFE" w:rsidR="00AD51A7" w:rsidRDefault="00AD51A7">
      <w:pPr>
        <w:rPr/>
      </w:pPr>
      <w:r w:rsidRPr="&lt;w:rPr xmlns:w=&quot;http://schemas.openxmlformats.org/wordprocessingml/2006/main&quot;&gt;&lt;w:lang w:val=&quot;es-ES_tradnl&quot; /&gt;&lt;/w:rPr&gt;">
        <w:rPr/>
        <w:t xml:space="preserve">Finalmente, no procede, en el momento actual, la suspensión de la responsabilidad personal subsidiaria para el caso de impago de la pena de multa —un mes de arresto sustitutorio— al tratarse de una eventualidad incierta que depende de que la multa no llegase a ser pagada, voluntariamente o por la vía de apremio, y en cualquier caso de una eventualidad futura que, en caso de sobrevenir, podría dar lugar a la modificación de la medida cautelar que ahora se adopta, en virtud del art. 57 LOTC (por todos, ATC 117/2004, de 129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Primera de la Audiencia Provincial de Madrid de 26 de diciembre de 2006, recaída en el recurso de apelación núm. 122-2006 interpuesto contra la dictada por el Juzgado de lo Penal núm. 26 de</w:t>
      </w:r>
    </w:p>
    <w:p w:rsidRPr="" w:rsidR="00AD51A7" w:rsidRDefault="00AD51A7">
      <w:pPr>
        <w:rPr/>
      </w:pPr>
      <w:r w:rsidRPr="&lt;w:rPr xmlns:w=&quot;http://schemas.openxmlformats.org/wordprocessingml/2006/main&quot;&gt;&lt;w:szCs w:val=&quot;24&quot; /&gt;&lt;/w:rPr&gt;">
        <w:rPr/>
        <w:t xml:space="preserve">Madrid en juicio oral núm. 397-2005 el día 11 de enero de 2006, exclusivamente en lo que se refiere a la pena de siete meses de prisión por cada uno de los cuatro delitos contra la Hacienda pública impuesta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