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15 de enero de 2007, la Procuradora de los Tribunales doña Isabel Díaz Solano, en nombre y representación de doña Irene Cortés Lucas, interpuso recurso de amparo contra la Sentencia de la Sala Segunda del Tribunal Supremo de 30 de noviembre de 2006 que confirmó la condena a siete años de prisión y multa de 100.000 euros, con accesoria de inhabilitación especial para el derecho de sufragio pasivo durante el tiempo de la condena, impuesta por la Sentencia de la Audiencia Provincial de Málaga (Sección Octava) de 30 de noviembre de 2005, recaída en sumario 2-2004, por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1 de julio de 2008, acordó admitir a trámite la demanda de amparo y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el trámite de alegaciones conferido mediante escrito presentado en el Registro General de este Tribunal el 10 de julio de 2008, considerando improcedente tanto la suspensión de la ejecución de la pena privativa de libertad de siete años de duración y penas accesorias, en aplicación de la reiterada doctrina de este Tribunal que sitúa el límite de las penas que pueden ser suspendidas en cinco años de prisión, como la pena de multa, por no conllevar su abono un perjuicio irreversible.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 demandante de amparo evacuó el trámite de alegaciones conferido mediante escrito presentado en el Registro General de este Tribunal el día 14 de julio de 2008, en el que reiteró los argumentos aducidos en la demanda de amparo acerca de la suspensión de la pena, manifestando que teniendo en cuenta el tiempo en que estuvo privada de libertad provisionalmente —diecisiete meses— y el tiempo que conlleva la tramitación de un recurso de amparo, la no suspensión ocasionaría un perjuicio irreparable que dejaría en entredicho la eficacia de un eventual fallo estimatorio.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 reforma llevada a cabo por la Ley Orgánica 6/2007, el art. 56.2 LOTC establece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aplicación del anterior art. 56.1 LOTC, en gran parte similar en su redacción al texto transcrito,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salvo que de no acordarse la suspensión el amparo hubiese de perder toda finalidad, lo que explica que, como criterio general, no proceda suspender aquellos pronunciamientos judiciales que admiten la reparación o la restitución íntegra de lo ejecutado, como sucede de ordinario con las resoluciones judiciales que condenan al pago de una determinada cantidad (entre otros muchos, AATC 293/2001, de 26 de noviembre; 211/2004, de 2 junio; 149/2006, de 8 de mayo; 460/2006, de 18 de diciembre).</w:t>
      </w:r>
    </w:p>
    <w:p w:rsidRPr="00C21FFE" w:rsidR="00AD51A7" w:rsidRDefault="00AD51A7">
      <w:pPr>
        <w:rPr/>
      </w:pPr>
      <w:r w:rsidRPr="&lt;w:rPr xmlns:w=&quot;http://schemas.openxmlformats.org/wordprocessingml/2006/main&quot;&gt;&lt;w:lang w:val=&quot;es-ES_tradnl&quot; /&gt;&lt;/w:rPr&gt;">
        <w:rPr/>
        <w:t xml:space="preserve">Cuando de la suspensión de la ejecución de condenas penales se trata la evaluación de la gravedad de la perturbación que para el interés general tiene la suspensión de la ejecución de una pena constituye un juicio complejo dependiente de diversos factores,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del Código penal: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sometido a nuestra consideración la pena impuesta alcanza los siete años de prisión y, aun cuando tuviéramos en cuenta los meses pasados en prisión provisional a los efectos de su descuento de la pena, la cifra resultante sería en todo caso superior a la duración que este Tribunal ha venido considerando como límite a partir del cual no resulta, en principio, procedente la suspensión. Teniendo en cuenta, además, la gravedad y lesividad inherente al delito de tráfico de drogas por el que la demandante de amparo ha sido condenada, debemos, en conclusión, denegar la suspensión de la pena privativa de libertad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misma conclusión hemos de llegar con respecto a la pena de multa impuesta.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como acontece en el presente caso,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