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5886-2011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5886-2011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30 de octubre de 2011, el Procurador de los Tribunales don José Andrés Peralta de la Torre interpuso recurso de amparo electoral, en nombre y representación del Hartos.org, contra la resolución de la Junta Electoral Provincial de Lleida, de 25 de octubre de 2011, confirmada por la Sentencia de 28 de octubre de 2011, dictada por el Juzgado de lo Contencioso-Administrativo núm.1 de Lleida en el recurso núm. 638-2011.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formación política Hartos.org interpuso recurso contencioso-electoral contra el acuerdo de la Junta Electoral Provincial de Lleida de 25 de octubre de 2011, por el que se denegaba la proclamación de sus candidaturas a las elecciones generales a celebrar el 20 de noviembre de 2011, al no haber cumplido dicho partido, que no obtuvo representación parlamentaria en los anteriores comicios, el requisito establecido en el art. 169.3 de la Ley Orgánica 5/1985, de 19 de junio, del régimen electoral general (LOREG) en la redacción dada por la Ley Orgánica 2/2011, de 28 de enero. El motivo de la denegación residió en que no presentó un número de avales 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contencioso-electoral se alegaba que tanto la modificación operada por la Ley Orgánica 2/2011, de 28 de enero, como la instrucción 7/2011, de 15 de septiembre, de la Junta Electoral Central, y la resolución posterior de dicha junta electoral, de 20 de octubre de 2011, no pueden aplicarse a este proceso electoral, pues lo contrario implicaría su vigencia retroactiva. Y, en segundo lugar, que el requisito de presentación de avales impuesto a las candidaturas que no hubiesen obtenido representación en anteriores elecciones resultaba contrario al art. 23 CE, invocándose asimismo los arts. 1, 6, 9.2, 14 y 16.2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Sentencia de 28 de octubre de 2011 del Juzgado de lo Contencioso-Administrativo núm. 1 de Lleida desestima el recurso contencioso-electoral. Razona que la convocatoria de las elecciones se produjo por Real Decreto 1329/2011, de 26 de septiembre, fecha netamente posterior a la modificación legislativa citada. Y añade seguidamente, sin mayores consideraciones, que no se puede entender que la introducción de un requisito consistente en la exigencia de avales a algunas candidaturas, a diferencia de lo que ocurre con las que tienen representación parlamentaria, sea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margen de otras consideraciones que realiza sobre las vicisitudes del proceso (críticas por incoherencia e ineficacia de la Junta Electoral Central, por la intervención del Instituto Nacional de Estadística y por lo privilegios que considera que benefician a los partidos parlamentarios), la demanda de amparo sitúa la vulneración de derechos fundamentales en distintos planos. A su juicio, el art. 169.3 de la Ley Orgánica 5/1985, de 19 de junio, del régimen electoral general (LOREG) en la redacción dada por la Ley Orgánica 2/2011, de 28 de enero, supone una quiebra del pluralismo político (art. 1.1 CE), obviándose que el art.6 CE no diferencia a aquellos partidos que obtienen representación en las Cortes Generales de los restantes. A partir de ello, denuncia la lesión del art. 23.2 CE, pues supone una traba en el derecho a participar en los asuntos públicos, directamente o por medio de representantes, ya que sólo se podrá optar a la elección de dichos representantes si superan el requisito previo de aportar las firmas requeridas. La obligatoria obtención de avales supone de facto la limitación de opciones políticas, ya que la recogida de avales de ciudadanos que circulan por espacios públicos en solo veinte días, afirma, limita de forma considerable el número de ciudadanos censados para poder avalar a un partido. Considera asimismo lesionado el art. 14 CE (del que se infiere que no puede existir un diferente trato en función de resultados electorales previos), y, añade, también el art. 16.2 CE (pues aquel precepto legal, como la instrucción 7/2011, de 15 de septiembre, de la Junta Electoral Central, permite a los ciudadanos manifestar el apoyo a una única candidatura, obligándoles a manifestar la propia ideología sin el amparo del anonimato que otorga el voto secreto en la jornada electoral; lo mismo que obliga a las formaciones políticas a ofrecer datos personales de los avalistas, vulnerando la confidencialidad de sus militantes, afiliados, simpatizantes o personas que han decidido apoyar la candidatura puntualmente).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 expuesto, interesa la anulación de la resolución judicial impugnada y el acuerdo de la Junta Electoral Provincial que la misma confirma, con la consiguiente proclamación de las candidaturas de Hartos.org, en la circunscripción de Lleida, así como la declaración de la nulidad de la nueva redacción dada al art. 193.2 LOREG (sic) y del Decreto de convocatoria de las elecciones generales del 20 de noviembre de 2011, exigiendo una nueva convocatoria electoral.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la no proclamación de la candidatura del partido recurrente al no haberse adjuntado los avales exigidos por el art. 169.3 de la Ley Orgánica del régimen electoral general (LOREG), en la redacción dada por la Ley Orgánica 2/2011, de 28 de enero, ha vulnerado el derecho a acceder en condiciones de igualdad a las funciones y cargos públicos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 pesar de la diversidad de preceptos constitucionales invocados, para una adecuada delimitación de este recurso de amparo se debe recordar que la invocación genérica del principio de igualdad (art. 14 CE) ha de entenderse subsumida, de acuerdo con reiterada doctrina constitucional, en el derecho de acceso a los cargos públicos (art. 23.2 CE), que es el que, en su caso, pudiera haber resultado directamente transgredido (por todas, STC 193/1989, de 16 de noviembre, FJ 3). A esa misma conclusión debe llegarse en relación con las invocaciones al valor superior del pluralismo político (art. 1.1 CE), que expresan los partidos políticos (art. 6 CE), toda vez que, al margen de no tratarse de derechos susceptibles de amparo constitucional, también pueden ser reconducidos en los términos en que han sido alegados en la demanda al parámetro de control dispensado por la invocación del derecho fundamental previsto en el art. 23.2 CE. Finalmente, la demanda de amparo invoca el art. 16.2 CE, que recibirá respuesta particularizada en el fundamento jurídico 4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también debe señalarse que, aunque la demanda se dirige formalmente contra el acuerdo de la Junta Electoral Provincial de no proclamación de la candidatura del partido recurrente y contra la resolución judicial que la ha confirmado, lo que se cuestiona es si el requisito legal impuesto por el art. 169.3 LOREG para la presentación de candidaturas por partidos políticos, federaciones o coaliciones que no hubieran obtenido representación parlamentaria en la anterior convocatoria electoral resulta lesivo o no del derecho al acceso a los cargos públicos, que es el real objeto de este recurso de amparo, con las limitaciones propias que impone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destacarse, por otra parte, que aunque el recurso parece censurar asimismo la instrucción de la Junta Electoral Central 7/2011, de 15 de septiembre, y la resolución del Presidente de la Junta Electoral Central, de 20 de octubre de 2011, el objeto de este procedimiento constitucional no puede comprenderlas, ya que su impugnación no puede efectuarse a través del recurso de amparo electoral. Como señalamos en la STC 112/2007, de 10 de mayo, FJ 2, “[l]a ‘modalidad específica de recurso de amparo’ (SSTC 71/1986, de 31 de mayo, y 1/1988, de 13 de enero) que articuló la Ley Orgánica del régimen electoral general, se prevé, de modo expreso, como cauce de amparo frente a las resoluciones de las que conoció o que dictaron los Juzgados de lo Contencioso-Administrativo en recursos frente a la proclamación de candidaturas y candidatos (arts. 49.3 y 4 LOREG) o también, por vía de remisión explícita, frente a las resoluciones dictadas por la Sala del Tribunal Supremo regulada en el art. 61 de la Ley Orgánica del Poder Judicial (LOPJ) cuando de lo que se trata es de recurrir frente a la proclamación o exclusión de candidaturas presentadas por las agrupaciones de electores a que se refiere el art. 44.4 de la propia Ley Orgánica del régimen electoral general (es decir, conforme a este último precepto, aquéllas que vengan a continuar o suceder la actividad de un partido político declarado judicialmente ilegal y disuelto, o suspendido)”, por lo que, con independencia de otras consideraciones, es claro que, al no tener por objeto directo las referidas instrucción 7/2011, de 15 de septiembre, y resolución del Presidente de la Junta Electoral Central, de 20 de octubre de 2011, la proclamación de candidaturas, no pueden ser objeto de un recurso de amparo electoral. Y por esta razón no van a ser objeto de examen las alegaciones que se refieren a las infracciones constitucionales que se imputan a esta resolución, sin perjuicio de las conclusiones que la Junta Electoral Central pueda extraer de lo aquí señalado.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todavía con carácter previo, convendrá subrayar que a pesar de que el recurso realiza diversas consideraciones sobre lo que califica como falta de eficacia de la administración de la Junta Electoral Central (censurando el cambio de criterio que, a su juicio, habría operado la resolución del Presidente de 20 de octubre antes citada respecto de la instrucción 7/2011, de 15 de septiembre, en lo relativo a las “insuficiencia de avales”), lo cierto es que, más allá de lo señalado en el párrafo anterior, se advierte que el recurrente no formula queja alguna respecto de las posibilidades de subsanación con las que contó en el caso concreto, no pudiéndosele extender, en consecuencia, la doctrina sentada en la STC 162/2011, de 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la eventual inconstitucionalidad de esta exigencia de avales ya ha sido objeto de pronunciamiento por parte de este Tribunal en la STC 163/2011, de 2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Sentencia, se recuerdan las líneas esenciales de la doctrina constitucional sobre el derecho a acceder en condiciones de igualdad a los cargos públicos con los requisitos que señalen las leyes (art. 23.2 CE), en el que se incluye el derecho a presentar candidaturas y a presentarse como candidato en las diversas convocatorias electorales si se cumplen los requisitos legalmente establecidos al efecto. Así, se pone de manifiesto que es un derecho que confiere al legislador un amplio margen para configurar el sistema electoral, con las limitaciones que imponen, por un lado, que el ejercicio de ese derecho se apliquen a todos los ciudadanos por igual, sin obstáculos para que se concurra en idénticas condiciones legales ni diferencias injustificadas o irrazonables en la aplicación de las condiciones legales, y, por otro, que se respete el contenido sustantivo propio que impone el concepto constitucional de representación política (FJ 3). En virtud de ello, se incide en la Sentencia en que, con independencia de que la exigencia de avales no esté expresamente prevista en la Constitución, su eventual contradicción con el art. 23.2 CE sólo dependerá de que se hayan sobrepasado las limitaciones impuestas al legislador respecto de su carácter no discriminatorio o contrario al principio de representación política, no convirtiendo este requisito en arbitrario el hecho de que el legislador no haya explicado de manera suficiente las razones de su decisión legislativa, lo que sólo puede concluirse de su contraste con el texto constitucional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también se destaca en el fundamento jurídico 5 de la mencionada Sentencia que este Tribunal ha reiterado que la libertad de presentación de candidaturas por los partidos no es absoluta, pudiendo ser limitada por el legislador en atención a valores y bienes constitucionales protegidos, por lo que lo relevante para determinar la constitucionalidad de la exigencia de avales controvertida, como requisito limitativo a la presentación de candidaturas, es si tiene o no un fundamento constitucional que la justifique. A esos efectos, se recuerda que la exigencia de avales ni es inédita en los ordenamientos de países de nuestro entorno, ni tampoco en nuestro propio ordenamiento, en que se establece para las elecciones al Parlamento Europeo la necesidad de que los partidos, coaliciones, federaciones y agrupaciones de electores presenten la firma de 15.000 electores o la firma de cincuenta cargos electos (arts. 220.3 y 4 LOREG) y también en relación con las agrupaciones de electores, a las que se exige para las elección al Congreso de los Diputados y al Senado en el mismo art. 169.3 LOREG un porcentaje de firmas  del 1 por 100, lo que el Tribunal Europeo de Derechos Humanos, en su decisión de 9 de mayo de 1994, caso J.A. Serqueda c. España, no consideró contrario al Convenio europeo para la protección de los derechos humanos y de las libertades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partir de todo lo expuesto, en la citada STC 163/2011, de 2 de noviembre, este Tribunal ha concluido que la necesidad de obtención de avales establecida en el art. 169.3 LOREG no vulnera el derecho de acceso en condiciones de igualdad a las funciones y cargos públicos (art. 23.2 CE), ya que “constituye una limitación objetiva no carente de fundamento constitucional, pues obedece a la consecución de un valor o bien constitucionalmente protegido, como es el de la racionalización y perfeccionamiento de la organización y desarrollo del proceso electoral, a través del cual se articula la representación política, cuyo adecuado funcionamiento puede verse efectivamente afectado por la excesiva proliferación de candidaturas carentes, por las razones que fueran, de respaldo o arraigo en el cuerpo electoral” (FJ 6). Del mismo modo, se señala que “el requisito establecido en el art. 169.3 LOREG, además de atender a la racionalización y perfeccionamiento del procedimiento electoral en lo que se refiere a los recursos públicos destinados a su celebración y a la complejidad de su organización, también podría favorecer la clarificación de la oferta electoral, mediante la exclusión de aquellas candidaturas que, en el momento de su presentación, no sean capaces de acreditar, con la firma de los electores, un mínimo respaldo o arraigo en la circunscripción en la que pretenden presentarse. Asimismo cabe pensar que el requisito en cuestión podría evitar la dispersión del voto entre opciones partidarias que son expresión de una misma orientación o corriente ideológica, al facilitar, mediante la referida exclusión de candidaturas que no alcancen ese mínimo arraigo en el cuerpo electoral, que las opciones partidarias con respaldo suficiente que sean expresión de orientaciones o corrientes ideológicas minoritarias puedan superar la barrera electoral que permite obtener representación parlamentaria (STC 48/2003, de 12 de marzo, FJ 5), lo que contribuye a preservar el valor constitucional del pluralismo político (art. 1.1 CE), del que los partidos políticos son expresión principalísima”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ha expuesto en dicha Sentencia que la situación de desigualdad por limitar la exigencia de avales a los partidos que no hubieran obtenido en la anterior convocatoria electoral representación parlamentaria “no está desprovista desde la perspectiva del art. 23.2 CE de una justificación objetiva y razonable, ya que la obtención de representación parlamentaria en la última convocatoria electoral acredita que los partidos políticos que la han alcanzado gozan o, al menos, han gozado, de un respaldo o arraigo en el cuerpo electoral con ocasión de la celebración de un proceso electoral del que carecen los partidos políticos que, habiéndose presentado al mismo proceso electoral, no han tenido representación y que se desconoce que tengan o puedan tener aquellos partidos políticos que no han concurrido a la anterior convocatoria electoral. Entre unos partidos políticos y otros existe, por tanto, un elemento diferenciador (haber obtenido o no representación en cualquiera de las Cámaras de las Cortes Generales) que, en atención a las finalidades legítimas a las que sirve el requisito del art. 169.3 LOREG, constituye una justificación objetiva y razonable del distinto trato que el legislador dispensa a uno y a otros en relación con dicho requisito”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también en dicha Sentencia este Tribunal ha descartado que este requisito legal de obtención de avales del 0,1 por 100 pueda ser considerado desproporcionado puesto en relación tanto con la exigencia del 1 por 100 de avales a las agrupaciones electorales para presentar candidaturas en las elecciones al Congreso de los Diputados y al Senado (art. 169.3 LOREG) y en las elecciones municipales (art. 187.3 LOREG) como con la exigencia de 15.000 firmas a los partidos políticos, coaliciones, federaciones y agrupaciones de electores para la presentación de candidaturas en las elecciones al Parlamento Europeo (art. 214 LOREG). Del mismo modo se descarta que concurra desproporción alguna de esta exigencia de avales puesta en relación con el plazo concedido por las juntas electorales, de conformidad con lo dispuesto en la instrucción 7/2011, de 15 de septiembre, de la Junta Electoral Central, relativa al procedimiento de acreditación de firmas de apoyo de candidaturas, que se extiende desde la convocatoria electoral correspondiente hasta la finalización del plazo de presentación de candidaturas (apartado quinto)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margen de lo anterior, en el fundamento jurídico 8 de la mencionada STC 163/2011, de 2 denoviembre, y en relación con la eventual incidencia que tendría la exigencia de avales en el derecho a no ser obligados a declarar sobre la propia ideología (art. 16.2 CE), este Tribunal ha destacado que quien voluntariamente decide apoyar con su firma la presentación de una candidatura ni está siendo obligado a declarar sobre su ideología ni tampoco equivale a manifestar una inequívoca adhesión ideológica a la misma. Del mismo modo, también se descarta que los datos personales que han de facilitar a la Administración electoral para avalar una candidatura —nombre y apellidos, documento nacional de identidad y circunscripción electoral en la que se esté censado— afecten a la intimidad de los avalistas o a su derecho a no declarar sobre su ideología. A esos efectos, se pone de manifiesto que, conforme a reiterada doctrina constitucional, entre los aspectos básicos de la vida privada protegidos por la intimidad, a la ideología y creencias, no se encuentran los datos referentes a la participación en la vida política, por ser una actividad cuya propia naturaleza se desarrolla en la esfera pública, con excepción del derecho de sufragio activo, dado el carácter secreto del voto (por todas, STC 85/2003, de 8 de mayo, FJ 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atención a lo expuesto, teniendo en cuenta que en el presente recurso de amparo, tal como se ha expuesto más detalladamente en los antecedentes, el partido recurrente ha impugnado el acuerdo de la junta electoral de no proclamación de su candidatura —y la resolución judicial que confirmó su adecuación a derecho—, que se fundamentó en el incumplimiento de la exigencia de avales prevista en el art. 169.3 LOREG y que dicho precepto no puede ser considerado lesivo del art. 23.2 CE, procede inadmitir la presente demanda de amparo electoral por inexistencia de violación de un derecho fundamental tutelable en amparo que, de acuerdo con el art. 43.1 LOTC, es requisito para que este Tribunal pueda ejercer dicha tutela. En consecuencia, el presente recurso incurre en el supuesto de inadmisión previsto en el art. 50.1 a) en relación con el art. 43.1, ambos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