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las medidas cautelares acordadas en la providencia de 27 de septiembre de 2011.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Juzgado de Primera Instancia núm. 31 de Madrid ha de expedir el mandamiento oportuno, para que pueda practicarse la misma en relación con la vivienda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julio de 2011 tuvo entrada en el Registro General de este Tribunal escrito firmado por la Procuradora de los Tribunales doña Aránzazu Pequeño Rodríguez, en representación de doña María Cruz Jara Quejido, en virtud del cual interponía recurso de amparo contra los Autos de 26 y 27 de abril de 2011 y las providencias de 10 de marzo y 16 de mayo de 2011, dictadas en el procedimiento de ejecución hipotecaria núm. 873-2008 por el Juzgado de Primera Instancia núm. 31 de Madrid, que denegaron la suspensión cautelar del lanzamiento de los ocupantes del domicilio familiar a pesar de la existencia de una cuestión prejudicial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considera que las resoluciones recurridas han vulnerado su derecho a la tutela judicial efectiva (art. 24 CE) en sus vertientes de acceso a la jurisdicción, de acceso al recurso y a una resolución motivada, toda vez que —a su juicio— deben estimarse nulas al no ser congruentes y además carecer de motivación, produciendo de todo punto, indefensión. Concretamente, considera que la providencia de 10 de marzo de 2011, que desestima la cuestión de prejudicialidad penal por estafa procesal, quebranta el art. 24 CE en cuanto comete un error patente y falta de motivación al considerar que se trata de una cuestión ya resuelta por el Juzgado con anterioridad, cuando la que había sido resuelta era la prejudicialidad penal de un posible delito de abandono de familia que se estaba instruyendo contra su ex cónyuge en el Juzgado de Instrucción núm. 18 de Madrid. Sobre la que debió pronunciarse el Juzgado de Primera Instancia núm. 31 de Madrid en el procedimiento de ejecución hipotecaria era la referente a la posible comisión de un delito de estafa de las entidades Cajamadrid y Tasamadrid, S.A. Sostiene, igualmente que el Auto de 26 de abril de 2011 quebranta el art. 24 CE en cuanto vuelve a incidir en el error patente de estimar que la cuestión ya fue resuelta en su día, no habiendo tomado en consideración el Auto de la Audiencia Provincial de Madrid de fecha de 7 de marzo de 2011 en el que se advertía de la existencia de indicios de la comisión del delito de estafa procesal por Cajamadrid y Tasamadrid. Si ello fuera así —en opinión de la recurrente— determinaría la invalidez o ilicitud del despacho de ejecución y, en consecuencia, el Juzgado que la autorizó, oídas las partes y el Ministerio Fiscal, debería haber acordado la suspensión del lanzamiento. Por último, añade que, por los mismos motivos se ha conculcado su derecho a un proceso con todas las garantías y sin dilaciones indebidas (art. 24.2 CE). Por medio de otrosí, y con invocación de la doctrina de este Tribunal, solicitó como medida cautelar urgente la suspensión de la ejecución de las resoluciones impugnadas, en el pronunciamiento relativo a la orden de lanzamiento de la demandante y sus hijos menores de la vivienda familiar previsto para el día 28 de septiembre de 2011, ya que, de ejecutarse en este aspecto, el amparo perdería su finalidad y se generarían perjuicios graves e irreparables tanto para ella como para sus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6 de septiembre del año en curso, la demandante presentó escrito de ampliación de demanda del recurso de amparo, en el que aduce que, a pesar de los escritos presentados por dos de los hijos (ahora ya mayores de edad) al Juzgado para que se les notifique la existencia de la ejecución y del lanzamiento —como ocupantes de la vivienda que son—, el juzgador mediante providencia de 4 de abril de 2011 se lo deniega al entender que los ejecutados son los progenitores (titulares dominicales del inmueble) y a los hijos no le es de aplicación lo previsto en el art. 704 de la Ley de enjuiciamiento civil, reiterando la solicitud de suspensión urgente de las resoluciones impugnadas y de esta última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resolución de fecha 27 de septiembre de 2011 la Sección Cuarta de este Tribunal acordó, por la vía del art. 56.3 de la Ley Orgánica del Tribunal Constitucional (LOTC), la suspensión cautelar, por razones de urgencia excepcional, de la ejecución de las resoluciones impugnadas dictadas por el Juzgado de Primera Instancia núm. 31 de Madrid, al estimar que dicha ejecución produciría un perjuicio de imposible o muy difícil reparación que haría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10 de noviembre de 2011 la Sala Segunda acordó admitir a trámite el recurso de amparo, de conformidad con lo previsto en el art. 11.2 LOTC, y que en aplicación del art. 51 LOTC se requiera al Juzgado de Primera Instancia núm. 31 de Madrid a fin de que, en plazo que no exceda de diez días, remita certificación o copia adverada de las actuaciones correspondientes al procedimiento de ejecución hipotecaria núm. 873-2008; debiendo previamente emplazarse a quienes hubieran sido parte en el procedimiento para que en el plazo de diez días puedan comparecer en el recurso de amparo, si así lo desean, salvo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11 de noviembre de 2011 la representación procesal de la demandante de amparo solicitó, con arreglo a lo previsto en los arts. 56.3 y 6 LOTC, la adopción como medida cautelar de la anotación preventiva de la demanda de amparo en el Registro de la Propiedad, puesto que en el folio registral de la finca objeto del pleito aparece inscrita actualmente como propietaria la entidad adjudicataria Cajamadrid,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resolución de 21 de noviembre de 2011 la Sala Segunda acordó no haber lugar a la medida solicitada por entender que “el régimen de actuaciones procesales por parte de este Tribunal es exclusivamente el contenido en su Ley Orgánica 6/2007, de 24 de mayo, y su art. 80 que prevé la aplicación supletoria de otros textos procesales, la constriñe a determinadas actuaciones procedimentales no encontrándose, entre ellas, la medida cautelar interesada al haberse ya adoptado por este Tribunal la señalada en el art. 56.3 LOTC por resolución de 27 de septiembre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resolución de fecha de 19 de diciembre de 2011 la Sala Segunda de este Tribunal Constitucional acordó formar la oportuna pieza para la tramitación del incidente de suspensión y, conforme a lo dispuesto en el art. 56 LOTC, conceder un plazo común de tres días a la parte recurrente y al Ministerio Fiscal para que alegasen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 la recurrente presentó escrito de alegaciones con fecha 29 de diciembre de 2011, en el que reproduce, en síntesis, las alegaciones formuladas en su demanda, y añade que a fecha actual no han variado en absoluto las circunstancias que motivaron la adopción de manera excepcional y urgente de la suspensión del lanzamiento, debiendo en consecuencia mantenerse la medida cautelar. Además, dado que sus tres hijos que también son titulares del derecho de uso de la vivienda familiar en virtud de su adjudicación por Sentencia de divorcio de fecha 31 de julio de 2007 dictada por el Juzgado de Primera Instancia núm. 80 de Madrid han ido alcanzando la mayoría de edad en el transcurso del procedimiento ejecutivo, solicita que se acuerde igualmente la notificación de la pendencia del procedimiento ejecutivo núm. 873-2008 a los mismos, haciéndoles saber que en el plazo de diez días a partir de la notificación pueden presentar ante el Juzgado de Primera Instancia núm. 31 de Madrid, procedimiento ejecutivo hipotecario núm. 873-2008, los títulos que justifiquen su situación, señalando día y hora para designar apud acta procurador que les represente en los autos de ejecución hipotecaria antedichos y defender así sus derechos en dicho pleito ante el Juzgado de Primera Instancia ya meritado.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en escrito registrado el 4 de enero de 2011, interesa el mantenimiento de la suspensión de la orden judicial de lanzamiento. Tras referirse a los antecedentes del caso y a la doctrina de este Tribunal, señala que la ejecución es susceptible de ocasionar un perjuicio grave e irreparable tanto para la demandante como para sus hijos al perder el amparo su finalidad, caso de otorgarse posteriormente, porque conllevaría la pérdida inmediata de la posesión de la que es la vivienda familiar. Por otro lado se subraya que el mantenimiento de la suspensión acordada no es lesivo para los intereses generales, ni siquiera para los intereses y derechos de terceros, singularmente de la entidad bancaria Cajamadrid, S.A., adjudicataria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la solicitud de la anotación preventiva de la demanda de amparo en el Registro de la Propiedad solicitada por la demandante, el Ministerio Fiscal, con apoyo en la doctrina constitucional que viene sosteniendo este Tribunal Constitucional en casos análogos, solicita que reconsideremos nuestra inicial negativa a adoptar dicha medida cautelar.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de la Ley Orgánica del Tribunal Constitucional (LOTC), atribuyendo en su apartado 6 a las Salas y Secciones de este Tribunal la facultad de adoptar, en la propia resolución de admisión a trámite de los recursos de amparo, medidas cautelares inaudita parte, en supuestos de urgencia excepcional, siendo dicha resolución recurrible en súplica, en el plazo de cinco días desde su notificación , por el Ministerio Fiscal y las partes personadas (ATC 111/2011, de 11 de julio, FJ 1). Ahora bien, como con detalle se ha analizado en el ATC 16/2011, de 25 de febrero, esa posibilidad no excluye la facultad del Tribunal Constitucional para que, en virtud de las previsiones contenidas en el art. 56.3 LOTC, y ante la concurrencia de circunstancias singularísimas de excepcional urgencia debidamente acreditadas, pueda acordar inaudita parte la suspensión de la resolución impugnada (o cualquier otra medida cautelar que pueda resultar adecuada) incluso antes de decidir sobre la admisión a trámite del recurso de amparo, y ello para impedir que, mientras se decide sobre la admisión del recurso conforme a la nueva configuración de este trámite que resulta de la reforma introducida por la Ley Orgánica 6/2007, pueda consumarse de manera irreversible la lesión de algún derecho fundamental que se alega por el demandante de amparo, provocando con ello la pérdida de la finalidad de su recurso, pues no debe olvidarse que “el recurso de amparo, en todo caso, sigue siendo un recurso de tutela de derechos fundamentales” (STC 155/2009, de 25 de junio, FJ 2) y que el fundamento de la tutela cautelar en el proceso de amparo constitucional no es otro que la necesidad de evitar que el amparo pierda su finalidad en caso de que finalmente sea estimado (art. 56.2 y 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 fue lo ocurrido en el presente caso, en el que, mediante la providencia de la Sección Cuarta de este Tribunal de 27 de septiembre de 2011 se acordó suspender la ejecución de las resoluciones impugnadas —Autos de 26 y 27 de abril de 2011 y las providencias de 10 de marzo y 16 de mayo de 2011, dictadas en el procedimiento de ejecución hipotecaria núm. 873-2008 por el Juzgado de Primera Instancia núm. 31 de Madrid y especialmente la orden judicial de lanzamiento de la actora y sus hijos del inmueble que constituye en domicilio familiar. No obstante lo anterior, la concurrencia de una situación de urgencia excepcional que autorice a este Tribunal a acordar de forma inmediata medidas cautelares inaudita parte incluso —cuando así lo requiera el carácter extraordinariamente apremiante y perentorio del asunto— antes de la admisión (art. 56.3 LOTC), no significa que no deba ratificarse, o modificarse, o levantarse en su caso, esa decisión provisional una vez admitido a trámite el amparo, “mediante una nueva resolución motivada en la que, tras oír a las partes, se expresen las razones que lleven al Tribunal a mantener, modificar o levantar la medida inicialmente acordada” (ATC 213/2009, de 9 de julio, FJ 1). Una vez admitida a trámite la demanda de amparo, en su caso, la parte contraria podrá comparecer en el proceso constitucional de amparo (art. 51.2 LOTC) y será oída, junto a la parte recurrente y el Ministerio Fiscal, por plazo común que no excederá de tres días (art. 56.4 LOTC), sobre el mantenimiento o alzamiento de la suspensión cautelar acordada, resolviendo este Tribunal por Auto lo que proceda (ATC 16/2011,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Habiendo sido oídas ya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disponiendo dicho precepto en su apartado 2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Esto es, se trata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original del art. 56 LOTC y confirmada en relación con la hoy vigente,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de los poderes públicos y, en particular, las judiciales, salvo en los casos en los que se acredite de forma fehaciente tanto el carácter irreparable del perjuicio para los derechos fundamentales, como la pérdida de la finalidad del amparo en caso de mantenerse la ejecución de la resolución (por todos, AATC 369/2005, de 24 de octubre, FJ 1; 287/2007, de 18 de junio, FJ 1; 348/2007, de 23 de julio, FJ 1; y 233/2008, de 21 de julio,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muchos, AATC 44/2008, de 11 de febrero, FJ 1; 67/2008, de 25 de febrero, FJ 1; 109/2008, de 14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perjuicio irreparable hemos entendido aquel que provoque que el restablecimiento del recurrente en el derecho constitucional vulnerado sea tardío y convierta al amparo en meramente ilusorio y nominal. Más concretamente,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como pone de relieve el Ministerio Fiscal en su escrito de alegaciones, la ejecución del lanzamiento de la que es vivienda familiar conllevaría la pérdida inmediata de la posesión y el goce de la misma por parte de la recurrente y de sus hijos, causando con ello un perjuicio de muy difícil o imposible reparación. Por otro lado —se añade por el Ministerio público— no se observa que el mantenimiento de la suspensión acordada pudiera ocasionar un perjuicio grave para los intereses generales ni tan siquiera para los intereses y derechos de terceros, singularmente, la entidad bancaria Cajamadrid, S.A., adjudicataria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señalado en el fundamento anterior, en general,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o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En efecto, en relación con resoluciones judiciales cuya ejecución conlleva el desalojo de una vivienda o local, hemos declarado en diversas ocasiones, AATC 225/2000, de 2 de octubre, FJ 2; 187/2001, de 2 de julio, FFJJ 2 y 3; 210/2001, de 16 de julio, FJ 3; o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como acontece en el presente caso, por lo cual resulta procedente el mantenimiento de la medida cautelar de suspensión del lanzamiento de la demandante de amparo de la vivienda que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ha interesado también que, reconsiderando nuestra anterior decisión, se proceda a la anotación preventiva de la demanda de amparo en el Registro de la Propiedad. En relación con dicha medida y a la vista de las alegaciones realizadas por el Ministerio público conviene aplicar al presente supuesto la doctrina constitucional asentada en virtud de la cual este Tribunal está facultado para acordar la anotación preventiva de la demanda de amparo en el Registro de la Propiedad a fin de garantizar los derechos de los demandantes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y una de cuyas finalidades es que el Registro de la Propiedad sea fiel trasunto de la realidad jurídica —en este caso, la pendencia del presente proceso constitucional— y, por ende, un eficaz instrumento de seguridad jurídica. Por consiguiente, en virtud de las razones expuestas, procede acordar la anotación preventiva de la demanda de amparo de conformidad con lo solicitado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las medidas cautelares acordadas en la providencia de 27 de septiembre de 2011.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Juzgado de Primera Instancia núm. 31 de Madrid ha de expedir el mandamiento oportuno, para que pueda practicarse la misma en relación con la vivienda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