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4793-2009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4793-2009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de suspensión solicitada por don Juan María Igarataundi Peñagaricano en el recurso de amparo núm. 4793-2009.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22 de mayo de 2009, el Procurador de los Tribunales don Javier Cuevas Ribas, en nombre y representación de don Juan María Igarataundi Peñagaricano, interpuso recurso de amparo contra la providencia de 3 de marzo de 2009, dictada por la Sección Primera de la Sala de lo Penal de la Audiencia Nacional, en la ejecutoria núm. 25-1988, dimanante del sumario núm. 25-1988 procedente del Juzgado Central de Instrucción núm. 1, por el que se aprueba la fecha de licenciamiento definitivo del recurrente, y contra el Auto de 1 de abril de 2009 de la misma Sala y Sección, que desestima el recurso de súplica interpuesto y confirma la providencia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son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de amparo fue condenado a diversas penas privativas de libertad cuya suma supera los treinta años de duración, si bien, de conformidad con el art. 70 del Código penal de 1973, una vez operada la oportuna refundición de condenas, éste es el límite máximo de cumplimiento efectivo.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3 de marzo de 2009, la Sección Primera de la Sala de lo Penal de la Audiencia Nacional dictó providencia aprobando el licenciamiento definitivo del penado para el día 6 de junio de 2017.</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c) Contra dicha providencia interpuso el demandante recurso de súplica, que fue desestimado por Auto de 1 de abril de 2009 que, del mismo modo que la providencia impugnada, se sustenta en el criterio iniciado por la Sala de lo Penal del Tribunal Supremo con la Sentencia 197/2006, de 28 de febrero, con arreglo al cual el beneficio de redención de penas por el trabajo consagrado en el art. 100 del Código penal de 1973 ha de aplicarse, no a ese máximo de cumplimiento de treinta años, sino a cada una de las penas impuestas en las diversas causas.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impugnadas han vulnerado los derechos a la igualdad (art. 14 CE), a la libertad (art. 17 CE), a la tutela judicial efectiva (art. 24 CE), así como los principios de seguridad jurídica e irretroactividad (art. 9.3 CE), el principio de legalidad (art. 25.1 CE) y al principio de que las penas privativas de libertad han de estar orientadas hacia la reeducación y reinserción social (art. 25.2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otrosí segundo, el recurrente solicitaba la suspensión de la ejecución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4. La Sala Segunda de este Tribunal, por providencia de 14 de abril de 2011, acordó admitir a trámite la demanda de amparo y, en aplicación de lo dispuesto en el art. 51 de la Ley Orgánica del Tribunal Constitucional (LOTC), dirigir sendas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igual fecha, se acordó formar la oportuna pieza para la tramitación del incidente de suspensión y, de conformidad con lo dispuesto en el art. 56.4 LOTC, otorgar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demandante de amparo evacuó el citado trámite a través de un escrito presentado en el Registro General de este Tribunal el 3 de mayo de 2011, en el que reiteró su solicitud.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escrito de alegaciones presentado el 17 de mayo de 2011, pide que se deniegue la suspensión solicitada, en atención al criterio seguido por este Tribunal en el ATC 206/2010, de 30 de diciembre, que resolvió una petición dimanante de un recurso sustancialmente igual al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fecha 18 de enero de 2012, la Sala Segunda de este Tribunal, acordó la avocación al Pleno,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entre otros muchos, en los AATC 462/2007, de 17 de diciembre; 116/2008, de 28 de abril, y 25/2009, de 26 de enero,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y 9/2003, de 20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tales resoluciones, ya que en dichos supuestos deben también ponderarse otras circunstancias relevantes,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Conforme ha quedado expuesto, el recurrente en amparo impugna la providencia de la Sección Primera de la Sala de lo Penal de la Audiencia Nacional de 3 de marzo de 2009 así como el Auto de 1 de abril de 2009 desestimó el recurso de súplica presentado y confirmó la providencia. De modo que las resoluciones judiciales recurridas en amparo no son aquellas que impusieron las penas privativas de libertad sino las que aprobaron el licenciamiento definitivo del penado aplicando el criterio jurisprudencial acogido por la Sala de lo Penal del Tribunal Supremo a partir de su Sentencia 197/2006, de 28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lo que el recurrente pretende es que este Tribunal acuerde cautelarmente su inmediata puesta en libertad en tanto se resuelva el recurso de amparo y, en consecuencia, se pronuncie sobre si el recurrente habría cumplido ya su condena el día 9 de abril de 2009 (según sostiene el demandante) o si, en cambio, no la extingue hasta el día 6 de junio de 2017 (como es el criterio de las resoluciones impugnadas), pues lo contrario, añade el recurrente, le produciría un perjuicio irreparable, en el caso de otorgarse finalmente 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dijimos en el ATC 214/2007, de 16 de abril, dictado en un caso similar, “ponderando los intereses en juego en los términos anteriormente expuestos, este Tribunal entiende que ha de prevalecer el interés general en mantener la eficacia de las resoluciones judiciales, a la vista de la gravedad de los hechos por los que el recurrente se encuentra cumpliendo condena y de las penas impuestas, como pone de relieve el Ministerio Fiscal, así como de la lejanía del tiempo de cumplimiento definitivo de la misma en la apreciación llevada a cabo por las resoluciones impugnadas, lo que determinaría que la pérdida de la finalidad del amparo, caso de otorgarse el mismo, sería sólo parcial y puede atemperarse otorgando al recurso una tramitación preferente” (FJ 3). A lo anterior se añade la circunstancia de que la puesta en libertad del recurrente supondría, al menos parcialmente, un otorgamiento anticipado del amparo que se solicita, lo que desnaturalizaría el carácter cautelar de la medida (por todos, AATC 132/1982, de 31 de marzo, FJ único; 292/2005, de 4 de julio, FJ 2; 3/2006, de 16 de enero, FJ 2; 3/2011, de 14 de febrero, FJ único; o 92/2011, de 20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conduce a la denegación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de suspensión solicitada por don Juan María Igarataundi Peñagaricano en el recurso de amparo núm. 4793-2009.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