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4169-2010, promovido por doña María Josefa Uzkudun Etxenagusia, representada por el Procurador de los Tribunales don Javier J. Cuevas Rivas y asistida por la Letrada doña Onintza Ostolaza Arruaberrena, contra el Auto de 17 de agosto de 2009 dictado por la Sección Segunda de la Sala de lo Penal de la Audiencia Nacional en la ejecutoria núm. 77-1995; y contra la Sentencia 195/2010, de 24 de febrero de 2010, de la Sala de lo Penal del Tribunal Supremo en el recurso núm. 11182-2009P, que ratifica el Auto antedicho. Ha intervenido el Ministerio Fiscal y la Asociación Víctimas del Terrorismo.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fecha 14 de mayo de 2010 en la Oficina de Registro y Reparto Civil del Decanato de Madrid, y registrado en este Tribunal el 19 de mayo de 2010, el Procurador de los Tribunales don Javier J. Cuevas Rivas, en nombre y representación de doña María Josefa Uzkudun Etxenagusia,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María Josefa Uzkudun Etxenagusia fue condenada en tres procedimientos seguidos ante la Sala de lo Penal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de 27 de mayo de 1992, dictada por la Sección Tercera de la Sala de lo Penal de la Audiencia Nacional en el sumario núm. 48-1990 del Juzgado Central de Instrucción núm. 4, a la pena de diez años de prisión por un delito de utilización de sustancias o aparatos explosivos.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núm. 5/1994, de 1 de febrero, dictada por la Sección Segunda de la Sala de lo Penal de la Audiencia Nacional en el sumario núm. 18-1991 del Juzgado Central de Instrucción núm. 2, a la pena de trece años de prisión por un delito de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Sentencia núm. 38/1995, de 9 de junio, dictada por la Sección Segunda de la Sala de lo Penal de la Audiencia Nacional, en el sumario núm. 14-1993 del Juzgado Central de Instrucción núm. 5, a las siguientes penas: por un delito de pertenencia a banda armada, a la pena de once años de prisión mayor; por un delito de atentado, en grado de tentativa, a la pena de doce años de prisión mayor; por un delito de depósito de armas de guerra, a la pena de once años de prisión mayor; por un delito de tenencia de explosivos, a la pena de once años de prisión mayor: por un delito continuado de falsificación de documento oficial, a la pena de cinco años de prisión menor; por un delito continuado de falsificación de documento de identidad, a la pena de cinco meses de arresto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Auto de 4 junio de 1996 de la Sección Segunda de la Sala de lo Penal de la Audiencia Nacional se declaró no haber lugar a la revisión de la Sentencia núm. 38/1995, de 9 de junio, dictada en el sumario núm. 14-1993 del Juzgado Central de Instrucción núm. 5, según el nuevo Código penal (CP)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17 de julio de 2000, la Sección Segunda de la Sala de lo Penal de la Audiencia Nacional reconoció en sus fundamentos jurídicos, de conformidad con lo dispuesto en el art. 70.2 CP 1973, la procedencia de refundir las condenas impuestas a la actora, acordándose en su parte expositiva fijar en un máximo de treinta años el periodo de privación de libertad a imponer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centro penitenciario de Albolote redactó el 22 de febrero de 2008 un oficio de cálculo de liquidación de condena, en el que, teniendo en cuenta los beneficios acumulados de redención ordinaria y extraordinaria de penas, se fijaba como fecha de cumplimiento definitivo el 27 de agosto de 2009. El Ministerio Fiscal se opuso, en fecha 17 de julio de 2009, a dicha liquidación al entender que era de aplicación la doctrina contenida de la STS de la Sala Segunda núm. 197/2006, de 28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mediante Auto de 17 de agosto de 2009, dictado en la ejecutoria núm. 77-1995, sumario núm. 14-1993, procedente del Juzgado Central de Instrucción núm. 5, la Sección Segunda de la Sala Penal de la Audiencia Nacional fijó como fecha de licenciamiento el 5 de febrero de 2021, en aplicación de la doctrina de la referida STS núm.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dicho Auto de 17 de agosto de 2009 la actora interpuso recurso de casación ante la Sala de lo Penal del Tribunal Supremo, que vino a ser desestimado por la Sentencia núm. 195/2010, de 24 de febrero, notificada el 13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por la actora incidente de nulidad de actuaciones contra la anterior STS de 24 de febrero de 2010, éste fue admitido a trámite mediante providencia de la Sala de lo Penal del Tribunal Supremo de 11 de mayo de 2010 (folio 113 de las actuaciones), notificada el 18 de mayo de 2010 (folio 116 de las actuaciones), debido a que las cuestiones planteadas eran las mismas que las que fueron objeto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sin indefensión (art. 24.1 CE), a un proceso con todas las garantías (art. 24.2 CE), así como de los derechos reconocidos por el art. 13 del Convenio europeo para la protección de los derechos humanos y las libertades fundamentales (CEDH) y por el art. 14.5 del Pacto internacional de derechos civiles y políticos (PIDCP), todo ello en relación con el derecho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que las resoluciones impugnadas acuerdan la aplicación de la nueva doctrina de la Sala de lo Penal del Tribunal Supremo sentada en la Sentencia núm. 197/2006, de 28 de febrero, —que establece un nuevo criterio en cuanto al cómputo de las redenciones por trabajo que empeora la situación del reo y obliga al cumplimiento íntegro de la condena de treinta años— la cual se encuentra recurrida en amparo y pendiente de resolución, dándose además la circunstancia de que el caso de la recurrente es distinto del que fue objeto de análisis y resolución en la referida STS 197/2006, y ello en la medida en que el nuevo criterio se plantea aquí en la liquidación de condena realizada por el centro penitenciario, habiéndose aplicado, hasta ese momento la fórmula resultante del art. 70.2 CP 1973, y existiendo respecto de la actora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aduce la vulneración del principio de legalidad (art. 25 CE, en relación con el art. 9.1 CE), por la interpretación realizada por la Audiencia Nacional de los arts. 70.2 y 100 CP 1973, así como de los arts. 66 y 71.3 del reglamento de prisiones de 1956 y del art. 202 del reglamento penitenciario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recurrente la interpretación sentada por la Sala de lo Penal del Tribunal Supremo en su Sentencia núm. 197/2006, de 28 de febrero, y aplicada en el presente caso por la Audiencia Nacional, es ajena al tenor literal de dichas normas, a las pautas axiológicas que conforman el ordenamiento constitucional, a los criterios mínimos que impone la lógica jurídica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sin que concurra ningún nuevo elemento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y cuarto motivos de amparo denuncia el recurrente la vulneración del derecho a la tutela judicial efectiva sin indefensión (art. 24.1 CE), en cuanto garantiza la intangibilidad de las resoluciones judiciales firmes, en relación con el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recurrente que la nueva interpretación del cómputo de las redenciones sobre la totalidad de la condena que realiza la Sala de lo Penal del Tribunal Supremo en su Sentencia núm. 197/2006, de 28 de febrero, aplicada en su caso por la Audiencia Nacional y por el Tribunal Supremo en las resoluciones impugnadas en amparo, le genera indefensión e inseguridad jurídica, puesto que las redenciones aprobadas por los Juzgados de Vigilancia Penitenciaria, intangibles y firmes, aplicadas (como se venía haciendo) al tope de treinta años, suponían una expectativa de importante acortamiento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sostiene el carácter firme e intangible del Auto de 17 de julio de 2000 de la Sección Segunda de la Sala de lo Penal de la Audiencia Nacional, que acordó refundir las penas impuestas a la actora, de conformidad con lo dispuesto en el art. 70.2 CP 1973, estableciéndose un límite máximo de cumplimiento de treinta años. Así como del Auto de 4 junio de 1996 de la Sección Segunda de la Sala de lo Penal de la Audiencia Nacional, por el que, todavía sin haberse dictado el Auto de refundición de condenas, se denegó la posibilidad de aplicar a la condenada las normas del Código penal de 1995. Esta última resolución es, en opinión de la actora, firme e intangible, en la medida en que se hizo teniendo en consideración una liquidación de condena realizada por el centro penitenciario de Almería el 16 de abril de 1996, la cual tomó como referencia, de conformidad con el art. 70.2 CP 1973, la condena de treinta años y respecto de ella aplica las redenciones obtenidas hasta el momento y las que pudiera adquirir en el futuro. También invoca la existencia de una liquidación de condena realizada por el centro penitenciario de Albolote el 22 de febrero de 2008 en la que se fijaba como fecha de cumplimiento definitivo el 27 de agosto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quinto motivo de amparo se aduce la lesión del principio de legalidad (art. 25.1 CE, en relación con el art. 9.3 CE, así como el art. 7 CEDH y el art. 15 PIDCP), por aplicación retroactiva de una ley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por la recurrente que las resoluciones judiciales impugnadas, al seguir el nuevo criterio establecido por la Sala de lo Penal del Tribunal Supremo en su Sentencia núm. 197/2006, de 28 de febrero, están aplicando retroactivamente el art. 78 CP 1995 a un penado bajo el Código penal de 1973, norma ésta que el recurrente considera como ley más favorable, en la medida en que las redenciones incidían sobre la liquidación de condena, acortando el tiempo de internamiento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lesión del derecho a la igualdad en la aplicación de la ley (art. 14 CE), en relación con el art. 14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recurrente que las resoluciones judiciales impugnadas incurren en un injustificado y arbitrario cambio de criterio al aplicar la Sentencia de la Sala de lo Penal del Tribunal Supremo núm. 197/2006, de 28 de febrero, que rompe con la jurisprudencia anterior al respecto,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al recurrente se le deniega de manera discriminatoria lo que a otros muchos presos se les concedió.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séptimo motivo de amparo se alega la vulneración del derecho a la libertad (art. 17.1 CE), en relación con los arts. 5 y 7.1 CEDH y los arts. 9.1 y 5 y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resaltar que, conforme a la doctrina de este Tribunal, la redención de penas por el trabajo afecta al derecho a la libertad personal, se sostiene por el recurrente, con cita del Voto particular a la Sentencia de la Sala de lo Penal del Tribunal Supremo núm. 197/2006, de 28 de febrero, que el mencionado cambio de criterio jurisprudencial contra reo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el octavo motivo de amparo, el recurrente alega la vulneración del art. 25.2 CE, en relación con las “Reglas mínimas para tratamiento de los reclusos” elaboradas en el primer Congreso de las Naciones Unidas sobre prevención del delito y tratamiento del delincuente (Ginebra, 1955) y el Pacto internacional de derechos civiles y políticos. Se aduce que, de conformidad con el art. 25.2 CE y la citada normativa internacional, las penas privativas de libertad han de estar orientadas a la reinserción social, fin al que se orienta la redención de penas por el trabajo como instrumento de tratamiento penitenciario, principios y normas que resultan vulnerados por la interpretación realizada por el Tribunal Supremo en su Sentencia núm. 197/2006, de 28 de febrero, aplicada por la Audiencia Nacional y el Tribunal Supremo en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abril de 2011 la Sala Segunda de este Tribunal acordó la admisión a trámite de la demanda de amparo y, a tenor de lo dispuesto en el art. 51 de la Ley Orgánica del Tribunal Constitucional (LOTC), requerir atentamente a la Sección Segunda de la Sala de lo Penal de la Audiencia Nacional para que en el plazo de diez días remitiera testimonio de la ejecutoria núm. 77-1995 (dimanante del sumario núm. 14-1993 del Juzgado Central de Instrucción núm. 5),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presentó su escrito de alegaciones en este Tribunal el 21 de septiembre de 2011, en el que ratifica las formuladas en la demanda de amparo, las cuales resume, añadiendo, respecto del motivo segundo, la íntima imbricación existente entre los principios de legalidad y de seguridad jurídica, y que, en aplicación de la doctrina contenida en la STC 57/2008, de 28 de abril, ante la ausencia de normas que determinen la interpretación sobre el abono de prisión provisional y redenciones, la misma nunca puede hacerse en un sentido perjudicial para 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en este Tribunal su escrito de alegaciones el 3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debe ser rechazada la pretendida vulneración del principio de legalidad penal recogido en el art. 25.2 CE porque, como reiteradamente ha destacado este Tribunal, dicho precepto constitucional no contiene un derecho fundamental del ciudadano susceptible de ser invocado en amparo, sino más bien un mandato dirigido al legislador para orientar la política penal y penitenciaria con objeto de que configure las sanciones penales para que cumplan estos fines de reinserción y rehabilitación establecidos en la Constitución,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vulneración del principio de legalidad penal conectado al de irretroactividad de las normas penales y restrictivas de derechos, pues no tiene fundamento alguno sostener que se han vulnerado dicho principio de irretroactividad de la ley penal por haber hecho aplicación del contenido del art. 78 CP 1995 bajo el ropaje aparente del art. 70.2 CP 1973, toda vez que el precepto que se ha aplicado ha sido siempre el art. 70.2 CP 1973, vigente al tiempo de comisión de los hechos, y sobre el que ha recaído la interpretación sentada en la Sentencia de la Sala de lo Penal del Tribunal Supremo núm. 197/2006, de 28 de febrero, y no el art. 78 CP 1995. No habiendo apariencia de una interpretación normativa extensiva o in malam partem, ni una aplicación analógica in peius, no corresponde al Tribunal Constitucional decidir cual de las posibles interpretaciones es la más adecuada a la norma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lesión del derecho fundamental a la igualdad en la aplicación de la ley que garantiza el art. 14 CE, ante todo porque el órgano judicial que ha dictado las resoluciones impugnadas en amparo es distinto del que ha dictado la Sentencia cuya doctrina ha generado, supuestamente, la situación personal discriminatoria; y, en segundo término porque, aun cuando hubiera existido en la Sala de lo Penal del Tribunal Supremo el criterio de apartarse de una anterior línea jurisprudencial uniforme, no cabe sino reconocer que la Sentencia en cuestión se fundamenta en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aprecia el Fiscal una vulneración autónoma del derecho a la libertad personal (art. 17.1 CE), más allá de lo que se argumentará a continuación a propósito del derecho a la intangibilidad de las resoluciones judiciales firmes; ni de los derechos a la defensa (art. 24.1 CE) y a un proceso con las debidas garantías (art. 24.2 CE), al haber obtenido la actora una respuesta suficiente a sus motivos de casación en la STS 195/2010; es más, en su opinión, podría incluso concurrir la causa de inadmisión de falta de agotamiento de la vía previa de recurso [art. 50.1 a) y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resulta relevante según el Fiscal, como se desprende de los motivos tercero y cuarto de la demanda de amparo, es la aplicación del nuevo criterio jurisprudencial surgido de la citada Sentencia de la Sala de lo Penal del Tribunal Supremo núm. 197/2006, de 28 de febrero, a situaciones ya reconocidas por resoluciones firmes, en referencia al Auto de 17 de julio de 2000 de la Sección Segunda de la Sala de lo Penal de la Audiencia Nacional que refundió las condenas impuestas al recurrente y señaló como pena única a cumplir la de treinta años, así como a la liquidación de condena realizada por el centro penitenciario de Albolote, remitida a la Sala el 22 de febrero de 2008, que siguió a ese Auto con aplicación de las redenciones que se iban produciendo (antes de dictarse las resoluciones judiciales impugnadas en amparo), lo que resulta perjudicial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para el Fiscal, las liquidaciones de condena no parece que puedan ser calificadas como resoluciones judiciales de naturaleza intangible, el Auto de 17 de julio de 2000 en el que se fija refundición y los criterios para la ejecución de condena si debe reputarse como firme e intangible, de manera que se impide la revisión del criterio fijado en el mismo en virtud de una jurisprudencia posterior porque ello, al ocasionar un evidente perjuicio penológico a la demandante de amparo, rompe con sus legítimas expectativas, lesiona su derecho a la intangibilidad de las resoluciones judiciales firmes, que forma parte del derecho a la tutela judicial efectiva garantizado por el art. 24.1 CE, y supone asimismo una interpretación retroactiva desfavorable para el reo en la ejecución de las penas, lo que determina la vulneración del principio de legalidad penal (art. 25.1 CE). A estas vulneraciones debe añadirse, según el Fiscal, y como consecuencia inexcusable de las mismas, la vulneración del derecho a la libertad personal (art. 17.1 CE), por cuanto la recurrente, en vez de obtener en la fecha prevista el licenciamiento definitivo de su condena, lo obtendría en fecha muy posterior por aplicación de esa nueva y desfavorable interpretación de la normativa realizada por la Sala de lo Penal del Tribunal Supremo en su Sentencia núm. 197/2006, de 28 de febrero, aplicada por la Audiencia Nacional en la resolución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la estimación del amparo, en lo referente a declarar vulnerado el derecho a la tutela judicial efectiva en su vertiente intangibilidad de las resoluciones judiciales firmes (art. 24.1 CE), en conexión con el principio de legalidad y el derecho a la irretroactividad de interpretaciones desfavorables para el reo (art. 25.1 CE) y el derecho a la libertad personal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del otorgamiento del amparo ha de ser, según el Fiscal, la anulación de las resoluciones impugnadas, para que se dicte nueva resolución por la Sección Segunda de la Sala de lo Penal de la Audiencia Nacional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Asociación Víctimas del Terrorismo presentó en este Tribunal su escrito de alegaciones el 22 de septiembre de 2011, en el que solicita la inadmisión del recurso de amparo presentado,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asociación, en primer lugar, respecto de la alegada vulneración del derecho a la tutela judicial efectiva sin indefensión (art. 24.1 CE) y de los derechos a la defensa y a un proceso con todas las garantías (art. 24.2 CE), que el cambio jurisprudencial operado desde la STS 197/2006, de 28 de febrero, no supone vulneración del derecho fundamental alguno desde el momento en que la actora se ha servido del sistema de recursos jurisdiccionales legalmente establecido. Respecto de la aducida vulneración del principio de legalidad (art. 25.1 CE, en relación con el art. 9.3 CE), afirma que las resoluciones impugnadas ni modifican ni niegan los beneficios penitenciarios derivados de la redención de penas, sino que tan sólo establecen la forma correcta en que deben ser aplicados respetando al límite legalmente establecido de estancia en prisión de treinta años, de manera que no se vulnera el principio de legalidad ni el de seguridad jurídica. Respecto de la pretendida vulneración de los derechos a la tutela judicial efectiva sin indefensión y a la libertad (arts. 24.1 y 17.1 CE) en su vertiente de intangibilidad de resoluciones judiciales firmes, en relación con los principios de legalidad y seguridad jurídica, afirma, en primer lugar, que las resoluciones que aprueban liquidaciones de condena no constituyen resoluciones judiciales firmes; que no se está enervando el derecho de la actora a no permanecer en prisión más allá del límite máximo de treinta años ni la aplicación de los beneficios penitenciarios obtenidos. Respecto de la posible lesión del principio de legalidad (art. 25.1 CE, en relación con el art. 9.3 CE), sostiene que el cambio jurisprudencial operado no supone la creación de norma legal alguna, por lo que difícilmente puede verse afectado el principio de irretroactividad. Sobre la pretendida vulneración del derecho fundamental a la igualdad ante la ley (art. 14 CE), afirma que la interpretación realizada por la STS 197/2006 no puede tildarse de irrazonable, ni de arbitraria, ni de lógica, habiéndose realizado el cambio de orientación respecto de la STS 529/1994, de 8 de marzo, la cual no fue reiterada en la forma prevista por el artículo 1.6 del Código civil. Por último, en lo que hace a la invocada vulneración del vulneración del art. 25.2 CE, en relación con las “Reglas mínimas para tratamiento de los reclusos” elaboradas en el primer Congreso de las Naciones Unidas sobre prevención del delito y tratamiento del delincuente (Ginebra, 1955) y el Pacto internacional de derechos civiles y políticos, sostiene la Asociación Víctimas del Terrorismo que la reinserción no es el único fin de la pena, sino que éste debe ser armonizado con otros como el de protección social; además la finalidad de socializadora opera con carácter orientativo sobre la forma de ejecutar la condena, no sobre su extensión, definida esta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2012, el Pleno, de conformidad con lo establecido en el art. 10.1 n) LOTC y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acordó señalar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17 de agosto de 2009 dictado por la Sección Segunda de la Sala de lo Penal de la Audiencia Nacional en la ejecutoria núm. 77-1995, y contra la Sentencia 195/2010, de 24 de febrero de 2010, dictada por la Sala de lo Penal del Tribunal Supremo en el recurso núm. 11182-2009P, que ratifica el Auto antedicho, y ello conforme al criterio de la Sentencia núm. 197/2006, de 28 de febrero, de la Sala Segunda del Tribunal Supremo, según la cual, en caso de penas acumuladas la redención de penas por el trabajo obtenida ha de computarse sobre cada una de las penas impuestas y no sobre el límite máximo de cumplimiento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de las infracciones y sanciones en relación con la irretroactividad de las normas sancionadoras desfavorables (art. 25.1 y 2 CE), a la libertad personal (art. 17.1 CE) y a la igualdad en la aplicación de la ley (art. 14 CE), con la argumentación que ha quedado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presentado, por entender que la aplicación del nuevo criterio jurisprudencial fijado en la referida Sentencia 197/2006 del Tribunal Supremo, supone la vulneración de los derechos fundamentales consagrados en los arts. 17.1, 24.1 y 25.1 CE, por afectar a situaciones ya reconocidas por resoluciones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Asociación Víctimas del Terrorismo, por su parte, interesa la inadmisión del recurso de amparo presentado, al no haberse producido vulneración de derecho alguno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 la primera queja formulada en la demanda, bajo la invocación de los derechos a la tutela judicial efectiva sin indefensión (art. 24.1 CE) y a un proceso con todas las garantías (art. 24.2 CE), lo que se viene a denunciar es la vulneración del derecho a un recurso efectivo y a la segunda instancia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queja no puede prosperar puesto que el recurrente —en contra de lo que sostiene— sí tuvo acceso al recurso legalmente previsto (el recurso de casación), que no fue inadmitido sino resuelto y desestimado por Sentencia de 24 de febrero de 2010 —que también es objeto del presente recurso—. Tanto en esta última resolución, como en el Auto de 17 de agosto de 2009 del Tribunal sentenciador, se rechazaron expresamente los motivos aducidos por la actora en apoyo de su pretensión permitiendo así al penado conocer la ratio decidendi de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motivos segundo y quinto de su demanda la actora denuncia la supuesta vulneración del principio de legalidad penal desde la doble perspectiva de la ilegitimidad del nuevo criterio interpretativo y de la aplicación retroactiva de una ley desfavorable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aquí la demandante, desde diversas perspectivas constitucionales, la cuestión de fondo, esto es, la aplicación a las condenas privativas de libertad de un nuevo criterio jurisprudencial, adoptado por el Tribunal Supremo en la interpretación de los arts. 70.2 y 100 del Código penal (CP) de 1973 y preceptos concordantes del reglamento penitenciario, en relación con el cómputo de la redención de penas por trabajo en penas acumuladas a las que se ha fijado, según prevé el Código penal, un límite máximo de cumplimiento de treinta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la forma de cumplimiento de las condenas impuestas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no pueden ser compartidas, dado que el contenido de los derechos alegados no tiene el alcance expresado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supuesto referido a la condonación de la pena citando, mutatis mutandis, caso Hogben contra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CP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que era posible a la vista del tenor literal de los arts. 70.2 y 100 CP 1973 y el art. 988 de la Ley de enjuiciamiento criminal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sí pueden ser cuestionados desde otras perspectivas. Una de ellas, alegada en el motivo sexto de la demanda de amparo, tiene que ver con el contenido del derecho a la igualdad en la aplicación de la ley (art. 14 CE). Sin embargo, tampoco desde esta perspectiva puede apreciarse en el presente caso la vulneración denunciada. Como señala el Ministerio Fiscal, las resoluciones impugnadas se limitan a aplicar la doctrina sentada por el Tribunal Supremo, máximo intérprete de la ley, justificando razonadamente el cambio de criterio sobre la forma del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hay que añadir que para hacer el juicio de igualdad es necesaria la aportación de un término de comparación adecuado, circunstancia esta que no concurre en la presente demanda de amparo en la que no se aporta resolución alguna dictada por el órgano sentenciador —Sección Segunda de la Sala de lo Penal de la Audiencia Nacional— en la que se resolviese de manera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tercer y cuarto motivo de amparo denuncia el demandante que la aplicación de la nueva interpretación jurisprudencial que cuestiona, sobre la forma de cómputo de la redención de penas por el trabajo, le genera una situación de indefensión e inseguridad jurídica que vulnera su derecho a la tutela judicial efectiva, en cuanto garantiza la intangibilidad de las resoluciones judiciales firmes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afirma en estos motivos la intangibilidad de diversas resoluciones. Primero, del Auto de 4 junio de 1996 de la Sección Segunda de la Sala de lo Penal de la Audiencia Nacional, que declaró no haber lugar a la revisión de la Sentencia núm. 38/1995, de 9 de junio, dictada en el sumario núm. 14-1993 del Juzgado Central de Instrucción núm. 5, dictada en la referida causa según el nuevo Código penal de 1995. Respecto de esta resolución judicial la actora sostiene que es firme e intangible y que se hizo teniendo en consideración una liquidación de condena realizada por el centro penitenciario de Almería el 16 de abril de 1996 la cual tomó como referencia, de conformidad con el art. 70.2 CP 1973, la condena de treinta años y respecto de ella aplica las redenciones obtenidas hasta el momento y las que pudiera adquirir en el futuro. En segundo lugar, también otorga el atributo de la intangibilidad de las resoluciones judiciales firmes al Auto de 17 de julio de 2000 de Sección Segunda de la Sala de lo Penal de la Audiencia Nacional, que reconoció en su fundamento jurídico, de conformidad con lo dispuesto en el art. 70.2 CP 1973, la procedencia de refundir las condenas impuestas a la actora, acordándose en su parte expositiva fijar en un máximo de treinta años el periodo de privación de libertad a imponer a la misma. En tercer lugar, también se invoca como intangible la liquidación de condena realizada el 22 de febrero de 2008 por el centro penitenciario de Albolote, fijándose como fecha de cumplimiento definitivo la de 27 de agosto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también este razonamiento del demandante por considerar que no es de recibo que, establecidos unos criterios de interpretación normativa para fijar la refundición de condena y establecidos ellos en resolución judicial, pudieran variarse en virtud de una posterior resolución que interpreta de otra manera las normas atinentes, como lo hacen las resoluciones judiciales ahora recurridas en amparo. La resolución judicial firme en la que considera el Fiscal que dichos criterios quedaron establecidos de forma intangible sería el referido Auto de 17 de julio de 2000 de la Sección Segunda de la Sala de lo Penal de la Audiencia Nacional, que reconoció en su fundamento jurídico, de conformidad con lo dispuesto en el art. 70.2 CP 1973, la procedencia de refundir las condenas impuestas a la actora, acordándose en su parte expositiva fijar en un máximo de treinta años el periodo de privación de libertad a imponer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señora Uzkudun Etxenagusia fue condenada en mayo de 1992, febrero de 1994 y junio de 1995 a varias penas de prisión y arresto mayor, tras ser considerada autora de diversos delitos que se relacionan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entrada en vigor del Código penal de 1995, a fin de determinar si su aplicación le era más favorable (art. 2.2), el Tribunal sentenciador recabó del centro penitenciario de Almería donde cumplía condena la certificación prevista en su disposición transitoria tercera. En ella se hace referencia a los beneficios penitenciarios que el penado había obtenido hasta ese momento y las fechas previstas de cumplimiento con cómputo futuro de tales beneficios penitenciarios. Contrastados tales datos con las penas previstas para los hechos en el nuevo Código penal, el Tribunal acordó, por Auto de 4 de junio de 1996, que no procedía revisar las penas impuestas al demandante con el siguiente razonamiento: “Debe entenderse, como consecuencia de la desaparición en el nuevo Código de la redención de penas por el trabajo y por la necesidad de aplicación de las normas completas de uno u otro Código (aplicación no fragmentaria de las normas prevista en la DT 2ª) que, tampoco procederá la revisión cuando la antigua pena por aplicación de los beneficios penitenciarios del artículo 100 del C.P. vigente y normas complementarias equivalga en términos de cumplimiento real a una pena que también sea imponible, es decir que se encuentre dentro del ámbito punitivo que establezca la nueva norma, sin que en este caso tampoco proceda hacer una individualización de la pena a tenor del nuevo Código, lo que sólo se producirá cuando efectivamente, después de un análisis global previsto en la DT 5ª haya de revisarse la pena. SEGUNDO.- En el caso que nos ocupa, precisamente del análisis global a que se hace referencia en el anterior, resulta que la pena impuesta en la presente causa no resulta revisable según el nuevo Código Penal”, razón ésta por la que acordó no haber lugar a la revisión dado que la pena impuesta conforme al Código penal de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Puesto que había sido condenada en diversos procesos por hechos que pudieron ser objeto de uno sólo, el Tribunal sentenciador, por Auto de 17 de julio de 2000, procedió a fijar en treinta años el límite máximo de cumplimiento de las condenas, de conformidad con lo dispuesto en el art. 988 LECrim y el art. 70, regla segunda,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decisión, el centro penitenciario de Albolote practicó el 22 de febrero de 2008 la liquidación provisional de las condenas impuestas a la demandante, según la cual, una vez descontado el tiempo que permaneció en prisión preventiva por dichas causas acumuladas, el demandante extinguiría sus condenas el día 27 de agosto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embargo, finalmente, mediante Auto de 17 de agosto de 2009, dictado en la ejecutoria núm. 77-1995, sumario núm. 14-1993, procedente del Juzgado Central de Instrucción núm. 5, la Sección Segunda de la Sala Penal de la Audiencia Nacional fijó como fecha de licenciamiento el 5 de febrero de 2021, en aplicación de la doctrina emanada de la referida STS núm. 197/2006, de 28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ninguna de las resoluciones judiciales a las que se refiere el recurrente y el Ministerio Fiscal puede derivarse el efecto de intangibilidad respecto al criterio de cómputo de las redenciones pretendido. Ninguna de ellas realiza pronunciamiento alguno sobre esta cuestión en el fallo, ya que su objeto era otro, ni incorporan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en los fallos de las referidas resoluciones se realiza pronunciamiento alguno acerca del criterio de cómputo de las redenciones (porque no era éste su objeto), ni de su fundamentación jurídica puede concluirse que la decisión de no revisar las condenas y de fijar un límite máximo de treinta años de privación de libertad se sustentaran de manera clara en un determinado criterio de cómputo de las redenciones que resulte determinante o decisivo para considerar o no más favorable el Código penal de 1973. Así, ni el Auto de 4 de junio de 1996, que acordó no haber lugar a la revisión de la Sentencia según el nuevo Código penal de 1995, ni el Auto de 17 de julio de 2000 que acordó fijar en un máximo de treinta años el período de privación de libertad a imponer a la actora, aprueban estrictamente liquidación de condena alguna, ni en ellos se decide de manera incontrovertible acerca del criterio de cómputo de las redenciones, ni tampoco se incorpora dicho criterio como ratio decidendi, por lo que no puede afirmarse que de estas resoluciones se derive una situación consolidada e intangible sobre esta cuestión. Siendo así, difícilmente podrá afirmarse que las resoluciones recurridas ignoren, o pongan en cuestión la firmeza e intangibilidad de lo decidido en los Autos señalados. El posterior Auto de 17 de agosto de 2009 que fijó la fecha de licenciamiento definitivo no dejó, pues, sin efecto dichas resoluciones sino que computó las redenciones sucesivamente sobre las penas impuestas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las causas expresadas, la vulneración del derecho a la libertad personal (art. 17.1 CE) invocada en el motivo séptimo del presente recurso.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misma suerte desestimatoria debe seguir la queja plasmada en el último motivo de amparo de la demanda según el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doña María Josefa Uzkudun Etxenagusía.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4169-2010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debo explicitar mi desacuerdo con los fundamentos y el fallo de la presente Sentencia, de la que he sido Ponente y es en esa condición en la que recojo en ella una opinión mayoritaria contraria a mi criterio. En cuanto a los motivos de mi desacuerdo me remito a la opinión discrepante que he dejado expresada en el recurso de amparo avocado núm. 7325-2006, donde razono mi convencimiento de que en este asunto se han vulnerado los derechos fundamentales reconocidos al recurrente por los arts. 17.1 y 25.1 CE, lo que debería haber llevado a este Tribunal a otorgar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