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5150-2010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5150-2010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29 de marzo de 2012 recayó Sentencia (STC 68/2012, de 29 de marzo) en el presente proceso constitucional (núm. 5150-2010), que denegó el amparo solicitado por don Antonio García Carbonell contra el Auto dictado el 15 de abril de 2010 por la Sala de lo Penal del Tribunal Supremo, que desestimó el recurso de casación contra el Auto de la Sección Quinta de la Audiencia Provincial de Barcelona, recaído el 3 de junio de 2009 en la ejecutoria núm. 279-1999.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proceso de amparo trae causa de que la Sección Décima de la Audiencia Provincial de Barcelona, mediante Sentencia de 27 de diciembre de 1996, condenó al demandante de amparo, como responsable de cuatro delitos de robo con violación, a cuatro penas de veinticuatro años de reclusión mayor; por la comisión de seis delitos de violación, a seis penas de quince años de reclusión menor; por cuatro delitos de detención ilegal, a cuatro penas de nueve años de prisión mayor; por un delito de robo con violencia, a cuatro años, dos meses y un día de prisión menor; por un delito de robo con intimidación, a dos años, cuatro meses y un día de prisión menor; por cinco faltas de lesiones, a otras tantas penas de veinte días de arresto menor. Igualmente le impuso las penas legales accesorias, así como el pago de las costas procesales y responsabilidades civiles que se determinan en la parte dispositiva de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la Sección Quinta de la Audiencia Provincial de Barcelona, mediante Sentencia de 16 de septiembre de 1999, condenó al demandante de amparo a las penas de veinte años y un día de reclusión mayor por la comisión de un delito de robo con violación; doce años y un día de reclusión menor por la comisión de un delito de violación; seis años y un día de prisión mayor por un delito de detención ilegal; y dos años, cuatro meses y un día de prisión menor por cada uno de los dos delitos de lesiones apreciados. Igualmente le impuso las penas legales accesorias, así como el pago de las costas procesales y responsabilidades civiles que se determinan en la parte dispositiva de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Habiendo sido notificada la Sentencia constitucional —el 19 de abril de 2012— a la representación procesal del demandante de amparo, mediante escrito presentado el 23 de abril solicitó aclaración de la misma, al amparo de los arts. 267 de la Ley Orgánica del Poder Judicial y 161 de la Ley de enjuiciamiento civil, en consideración a que se habría omitido, por error, un dato esencial cual es que en la ejecutoria se había practicado una liquidación de condena provisional con aplicación de los beneficios penitenciarios de redención de penas por el trabajo y que, en base a la misma, se acordó mantener la aplicación del Código penal de 1973. En concreto, añade, el 4 de julio de 2001 el Tribunal sentenciador solicitó al centro penitenciario en que se encontraba interno el demandante que remitiera la liquidación provisional de la condena, lo cual llevó a cabo el centro penitenciario, enviando el 12 de julio de 2001 la referida liquidación provisional en la que se detallaban las redenciones y se establecía el licenciamiento definitivo para el 25 de noviembre de 2013. Tras ello, el Auto de 14 de diciembre de 2001 mantuvo la aplicación del Código penal de 1973 ya que la parte, a la vista de la liquidación de condena provisional practicada, así lo solicitó. Todo lo cual, a juicio del peticionario, indica que existió una resolución judicial firme e intangible que incorpora un determinado criterio de cómputo de las redenciones de penas por el trabajo distinto al aplicado por las resoluciones recurridas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(LOTC) establece que en el plazo de dos días, a contar desde la notificación, las partes podrán solicitar de este Tribunal la aclaración de sus Sentencias. Ahora bien, como hemos expresado en reiteradas ocasiones, la solicitud de aclaración no constituye un auténtico medio de impugnación encaminado a la sustitución o revisión de la decisión adoptada. Antes al contrario, su objeto ha de limitarse tan sólo, según se pone de manifiesto en los textos legales que sirven de referencia al efecto (arts. 267 de la Ley Orgánica del Poder Judicial y 214 de la Ley de enjuiciamiento civil, aplicables supletoriamente a esta jurisdicción constitucional ex art. 80 LOTC), a la corrección de errores materiales manifiestos o errores aritméticos, la aclaración de algún concepto oscuro, suplir cualquier omisión o la rectificación de alguna contradicción manifiesta que se evidencie del propio texto de la Sentencia, sin necesidad de nuevas deducciones o interpretaciones (AATC 439/2006, de 11 de diciembre, FJ 1; 363/2007, de 11 de septiembre, FJ 1; y 70/2008, de 26 de febrero, FJ 1,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solicitante articula por la vía de la petición de aclaración una pretensión que excede manifiestamente del contenido de este trámite, pues lo que solicita no es otra cosa que un pronunciamiento de fondo radicalmente opuesto al ya recaído, en consideración a un pretendido error que, en realidad, no es tal, pues la resolución judicial a la que atribuye una intangibilidad que debiera haber llevado al otorgamiento del amparo ya fue debidamente valorada (fundamento jurídico 6 de la Sentencia) cuando afirmamos que el Auto de 14 de noviembre de 2001 se limitó a tener por desistido al demandante de amparo de su inicial petición de revisión de la condena, siendo claro que en esta resolución no se realiza pronunciamiento alguno acerca del criterio de cómputo de las redenciones por el trabajo, ni era su objeto, sin que pueda fundar el solicitante su pretensión en la propuesta de liquidación formulada el 12 de julio de 2001 por el centro penitenciario, pues dicha propuesta no llegó a ser aprobada por el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