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1566-2008, promovido por don Ronald Bolañoz Betancourt y don Gonzalo Taborda Briceño, representados por la Procuradora de los Tribunales doña María Luisa Carretero Herranz y asistidos por la Letrada doña María del Pilar Lozano Lucas, contra el Auto dictado por la Sección Cuarta de la Sala de lo Penal de la Audiencia Nacional, de 11 de enero de 2008, en ejecutoria núm. 192-2007. Ha comparecido el Procurador don Álvaro Mondria Terán, en nombre y representación de don Javier Martínez Ojea.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26 de febrero de 2008, la Procuradora de los Tribunales doña María Luisa Carretero Herranz, en nombre y representación de don Ronald Bolañoz Betancourt y don Gonzalo Taborda Briceño, formuló demanda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fueron absueltos por Sentencia de la Sección Cuarta de la Sala de lo Penal de la Audiencia Nacional, de 6 de julio de 2007, de los delitos contra la salud pública y blanqueo de capitales por los que habían sido acusados, al no existir ningún elemento probatorio que pusiera de manifiesto su participación en el delito contra la salud pública y, respecto de la segunda acusación, porque tampoco existía prueba de que el dinero que les fue incautado procediera del narcotráfico, pese a que su conducta pareciera indicativa de un ocultamiento de bienes de origen ilícito. El fallo de la Sentencia dejaba sin efecto las medidas cautelares que fueron acordadas en su día, entre las que se encontraba la incautación de un paquete de billetes de euros que portaba el recurrente don Ronald Bolañoz Betancourt al ser detenido, así como numerosos fajos de billetes de euros y de otras divisas descubiertas en el registro realizado en el piso 2º-c del núm. 34 de la calle General Kirkpatrick de Madrid, piso que figuraba alquilado a nombre de un tercero, si bien lo utilizaba el recurrente en amparo don Gonzalo Taborda Briceño. La resolución judicial fue declarada firme por Auto de 28 de septiembre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 los demandantes solicitó la devolución del dinero que les fue intervenido. La petición fue denegada por Auto de la Sala de lo Penal de Audiencia Nacional, de 16 de noviembre de 2007. El Tribunal razonaba que del fundamento de Derecho undécimo de la Sentencia de 6 de julio de 2007 se desprende “que el metálico que se reclama no es propiedad de los reclamantes, dado que no consta ningún título o negocio jurídico que determine la legítima tenencia de todo el dinero incautado”, circunstancia que también se infiere, decía la Sala, de la lectura del hecho probado quinto de aquélla, “por lo que los reclamantes carecen de legitimación alguna para solicitar ese efectivo intervenido”. Destacaba el Auto, no obstante, que de la lectura de la Sentencia “se colige que el dinero incautado proviene de una situación patrimonial ilícita que no ha sido penada en esta causa en aplicación del principio in dubio pro reo”, razón por la que ordenaba deducir testimonio a la autoridad administrativa del Sepblac (Servicio ejecutivo de la comisión de prevención del blanqueo de capitales e infracciones monetarias) del Banco de España, por si se apreciara infracción de la normativa administrativa de prevención del blanqueo de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demandantes interpusieron recurso de súplica contra el Auto de 16 de noviembre de 2007. Aducían que no había quedado acreditada la ilícita procedencia del dinero en metálico incautado; que no se acordó el comiso del dinero y que la previsión del art. 635 de la Ley de enjuiciamiento criminal considera dueño al que estuviere poseyendo la cosa al tiempo de incautarse de ella el Juez de instrucción, por lo que, al dejar la Sentencia sin efecto las medidas cautelares reales que fueron adoptadas, correspondía la devolución de aquellos efectos. Con fundamento en esos elementos, invocaban el derecho de ejecución de la Sentencia, como vertiente del art. 24.1 CE. Por otra parte, en oposición al testimonio dirigido al Servicio ejecutivo de la comisión de prevención del blanqueo de capitales e infracciones monetarias, argüían que no eran sujetos obligados conforme a la normativa administrativa de prevención de blanqueo de capitales, y que además la posible responsabilidad estaría prescrita dado que habían transcurrido más de tres años de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11 de enero de 2008, por la Sala de lo Penal de la Audiencia Nacional que reiteraba la improcedencia de la devolución del dinero porque los reclamantes no podían considerarse sus titulares, ya que ellos mismos se habían desvinculado expresamente de él en sus declaraciones, incluso en el proceso penal. En relación al testimonio a remitir al Servicio ejecutivo de la comisión de prevención del blanqueo de capitales e infracciones monetarias, insistía en que la Sala se limitaba a dar cuenta de unos hechos, sin identificar persona alguna, lo cual excluía cualquier consideración acerca de la posible condición de sujetos obligados de los reclamantes.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oficio de 19 de septiembre de 2008, el Servicio ejecutivo de la comisión de prevención del blanqueo de capitales e infracciones monetarias dio respuesta a la Sala sentenciadora, señalando que de lo actuado no se desprendía ninguna infracción administrativa de la normativa de prevención de blanqueo de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Auto de 11 de enero de 2008 por vulneración del derecho a la tutela judicial efectiva y a un proceso con todas las garantías (art. 24 CE) por no ordenar la devolución del dinero solicitado, y del principio de legalidad penal (art. 25.1 CE) por entender que la deducción de testimonio a las autoridades administrativas incurre en violación del principio non bis in ídem, al pretender la apertura de un procedimiento administrativo respecto de unos hechos ya juzgados en vía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del Tribunal Constitucional decidió conocer del presente recurso de amparo y admitir a trámite la demanda. Asimismo, acordó dirigir comunicación a la Sección Cuarta de la Sala de lo Penal de la Audiencia Nacional para que remitiera certificación o fotocopia adverada de las actuaciones correspondientes a la ejecutoria núm. 189-195-2007 dimanante del rollo de Sala núm. 88-2005, con emplazamiento de quienes hubieran sido parte en el procedimiento, con excepción de los recurrentes, para que pudieran comparecer en este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30 de enero de 2011, se tuvo por personado y parte al Procurador don Álvaro Mondria Terán, en nombre y representación de don Javier Martínez Ojea, y se dio vista de las actuaciones a las partes personadas y al Ministerio Fiscal para que presentaran alegaciones, conforme a lo dispuesto en el art. 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evacuó el trámite el día 29 de febrero de 2011. Destaca que la Sentencia que absolvió a los demandantes no ordenaba la devolución a éstos del dinero incautado, y que por otra parte, tampoco indicaba que el alzamiento de las medidas cautelares que adoptó se asociara a un deber de entrega del dinero y, menos aún, que significara la consideración de los demandantes como sus legítimos titulares. No habría, en consecuencia, una vulneración del derecho a la ejecución de la Sentencia, más cuando la denegación de la devolución del dinero reclamado estuvo fundada en la carencia de título de pertenencia y en la declaración de los propios solicitantes, que se desvincularon en el proceso de las cantidades que luego reclamaron.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 conculcación del principio de legalidad (art. 25.1 CE), toda vez que la existencia de la lesión denunciada exigiría como premisa la imposición de una sanción, hecho no concurrente ni cuando se interpuso la demanda de amparo ni después, como se desprende del oficio de 19 de septiembre de 2008 del Servicio ejecutivo de la comisión de prevención del blanqueo de capitales e infracciones monetarias a la Sala sentenciadora, en el que no apreciaba la existencia de infracción administrativa alguna. De cualquier modo, añade el Ministerio público, tampoco existiría incompatibilidad sancionadora al no estar determinado en el testimonio un presunto autor obligado a declarar y, además, ser distinto el fundamento de la punición en los ámbitos penal y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diligencia de 13 de enero de 2012 se hace constar que no se recibieron escritos de alegaciones de los Procuradores doña María Luisa Carretero Herranz y don Álvaro Mondria Terán.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junio de 2012, se señaló para la deliberación y votación de la presente Sentencia el día 2 de julio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Cuarta de la Sala de lo Penal de la Audiencia Nacional de 11 de enero de 2008, que desestima el recurso de súplica interpuesto contra el Auto de 16 de noviembre de 2007, que denegó la entrega del dinero intervenido en una causa penal en la que los demandantes fueron finalmente absueltos de los delitos contra la salud pública y blanqueo de capitales. En la demanda de amparo se denuncia la vulneración del derecho a la tutela judicial efectiva y a un proceso con todas las garantías, causándose efectiva indefensión (art. 24 CE), y del principio de legalidad (art. 25.1 CE, por infracción del principio non bis in ídem), con la argumentación expuesta en los antecedentes. El Ministerio Fiscal, por su parte,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63/2012, de 29 de marzo, FJ 2, recuerda que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de la Ley Orgánica del Tribunal Constitucional (LOTC) (por todas, STC 69/2004,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la doctrina de este Tribunal relativa a la razón de ser del requisito que establece el art. 44.1 c) LOTC —que se haya denunciado formalmente en el proceso la vulneración del derecho constitucional tan pronto como conocida hubiera lugar para ello— dispone que su finalidad es salvaguardar la naturaleza subsidiaria del recurso de amparo, “siendo lo esencial el que queden expuestos adecuadamente los hechos y los fundamentos de derecho en la vía judicial correspondiente, de forma que pueda debatirse y resolverse sobre el ‘tema constitucional’ y que la pretensión luego deducida en amparo no tenga un contenido distinto al que se hizo valer ante los órganos judiciales” (por todas, STC 27/2009,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estas consideraciones, observamos que los demandantes no plantearon en la vía judicial previa la queja relativa a la lesión del principio de legalidad en los términos que ahora se formulan (non bis in ídem) en relación con el testimonio que la Audiencia Nacional acordó deducir en el Auto de 13 de noviembre de 2007 a la autoridad administrativa (Servicio ejecutivo de la comisión de prevención del blanqueo de capitales e infracciones monetarias), por lo que, en consecuencia, habiendo tenido oportunidad de hacerlo con ocasión del recurso de súplica que formularon frente a aquel Auto, el segundo motivo de amparo ha de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primera vulneración que denuncia la demanda de amparo (art. 24.1 CE) debe circunscribirse a la queja relativa al derecho a la ejecución en sus propios términos de la Sentencia de 6 de julio de 2007 de la Sección Cuarta de la Sala de lo Penal de la Audiencia Nacional, única cuestión que cuenta con desarrollo argumental, con independencia de que vaya acompañada de una invocación retórica y huérfana de fundamentación alguna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de ejecución ha sido sintetizada, por ejemplo, en la STC 121/2007, de 21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que la interpretación del sentido del fallo de las resoluciones judiciales es una función estrictamente jurisdiccional que, como tal, corresponde en exclusiva a los órganos judiciales, el alcance de las posibilidades de control, por parte de este Tribunal, del cumplimiento de la potestad jurisdiccional de hacer ejecutar lo juzgado (art. 117.3 CE) no es ilimitado. En este sentido, es también doctrina constitucional consolidada que el control que este Tribunal puede ejercer sobre el modo en que los Jueces y Tribunales ejercen esta potestad se limita a comprobar si estas decisiones se adoptan de forma razonablemente coherente con el contenido de la resolución que se ejecuta. Y, junto a ello, hemos advertido también reiteradamente que la determinación del alcance que quepa atribuir a la cosa juzgada constituye una cuestión que corresponde igualmente a la estricta competencia de los órganos judiciales, por lo que sus decisiones en esta materia sólo serán revisables en sede constitucional si resultan incongruentes, arbitrarias o irrazonables (SSTC 242/1992, de 21 de diciembre, FJ 3; 15/2002, de 28 de enero, FJ 3; 87/2006, de 27 de marzo,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significa que en el recurso de amparo no puede debatirse de nuevo sobre el contenido de la Sentencia que se ejecuta, ni sobre la interpretación y consecuencias de su fallo, ya que, como recuerda la STC 116/2003, de 16 de junio, FJ 3,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se subrayaba en las SSTC 83/2001, de 26 de marzo, FJ 4, y 146/2002, de 15 de julio, FJ 3, para determinar si los Autos de ejecución se han apartado del significado y alcance de los pronunciamientos de la Sentencia de la que traen causa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contenidos en éste.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obliga a considerar, en primer término, el contenido de las resoluciones judiciales dictadas en el proceso para comprobar después, en un segundo momento, si la decisión judicial de ejecución incurre o no en alguna de las apuntadas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Auto de 16 de noviembre de 2007, luego confirmado en súplica por el de 11 de enero de 2008, consideró que la no devolución del dinero reclamado era congruente con el punto quinto del relato de hechos probados y con el fundamento de Derecho undécimo de la Sentencia de 6 de julio de 2007, como aducía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poner de relieve que el punto quinto del relato de hechos probados de la Sentencia describe el resultado de la intervención telefónica, autorizada judicialmente, que permitió conocer la existencia de una vivienda (en la que se halló el dinero) ocupada por uno de los acusados, que no podía abandonarla hasta que fuera relevado “en esa tarea de ocultación”. Asimismo, según el relato de los hechos, uno de los demandantes recibió órdenes de un tal “Gustavo” para recoger del inmueble un paquete, lugar en el que le esperaba el otro demandante quien “le entregó un paquete y que era parte de un montante mayor de dinero siendo igualmente su misión el custodiarlo, según las instrucciones dadas por ese tal Gustavo, por lo que vivía en ese domicilio desde hacía unos quince días, sin constar conociera tampoco su procedencia y si ésta era de narcotráfico”. Abundando en ello, el fundamento de Derecho undécimo de la Sentencia afirma que los demandantes “no arrojaron luz alguna acerca la procedencia de lo hallado”, toda vez que uno de los demandantes “afirmó que nunca lo había visto”, desconocimiento que hizo extensivo al contenido del paquete que recogió en el inmueble el otro acusado, y que éste, por su parte, “explicó que fue a la vivienda por un encargo para pagar a un tercero”, versión que no fue corroborada al no proponer su comparecencia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anterior, los demandantes fundan la vulneración denunciada en que la decisión contenida en el fallo de la Sentencia de la Audiencia Nacional de dejar sin efecto las medidas cautelares personales y reales adoptadas no se ha llevado a cabo en cuanto al extremo requerido. Alegación que no puede prosperar porque los hechos recogidos en la Sentencia, que acaban de reseñarse, revelan que la razón por la que el Tribunal denegó la devolución a los recurrentes fue la falta de título que la justificara. Conclusión que puede considerarse coherente con la Sentencia de 6 de julio de 2007, pues el órgano judicial describió la relación de los demandantes con el dinero intervenido como una mera relación instrumental sujeta a indicaciones de persona desconocida, sin que hiciera referencia explícita o implícitamente a título alguno que les hiciera acreedores de la reposición de aquellas cantidades. Esto es, ni la Sentencia se ocupó de la hipótesis de la devolución del dinero intervenido, ni apuntó un fundamento que pudiera habilitarla en fase de ejecución. Consiguientemente, no se produjo un apartamiento irrazonable, arbitrario o erróneo de los pronunciamientos de la parte dispositiva de la resolución cuando, en ejecución de Sentencia, se decidió desvincular el levantamiento de las medidas cautelares que contiene el fallo respecto a la obligación de la devolución solicitada, ya que este último particular no fue objeto de enjuiciamiento en la Sentencia de 6 de julio de 2007. Es decir, con independencia de la corrección jurídica de la decisión adoptada, no aflora en el presente caso un problema asociado a la ejecución de la Sentencia firme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Auto de 16 de noviembre de 2007 ordenó deducir testimonio de particulares y remitir a la autoridad administrativa del Servicio ejecutivo del Banco de España indicación de la cantidad aprehendida y a disposición del órgano judicial, por si se apreciara infracción de la normativa administrativa de prevención del blanqueo de capitales. Esa decisión, sin embargo, no modifica la conclusión alcanzada, pues se trata de un trámite procesal relacionado con el destino del dinero en metálico, que no forma parte aquí, en atención a lo razonado, del derecho a que la Sentencia de 6 de julio de 2007 se ejecute en sus propios términos, quedando por ello fuera del ámbito de control limitado a ejercer por este Tribunal con arreglo a la doctrina expuesta al inicio de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las resoluciones dictadas en ejecución de la Sentencia de 6 de julio de 2007 de la Sección Cuarta de la Sala de lo Penal de la Audiencia Nacional no lesionaron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solicitado por don Ronald Bolañoz Betancourt y don Gonzalo Taborda Briceño.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