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10642-2009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10642-2009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23 de diciembre de 2009, la Procuradora de los Tribunales doña María del Pilar Pérez Calvo, en nombre y representación de doña Concepción Reyes Martín Gutiérrez, interpuso demanda de amparo contra la Sentencia de la Sección Primera de la Audiencia Provincial de Almería, de 2 de marzo de 2009, dictada en el rollo de apelación núm. 424-2008, dimanante del procedimiento abreviado núm. 51-2008 del Juzgado de lo Penal núm.1 de Almería, relativo a un delito contra la ordenación del territorio, así como contra el Auto de fecha 5 de noviembre de 2009 que desestimó el incidente de nulidad de actuaciones interpuesto frente a la resolución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aduce que las resoluciones judiciales impugnadas han vulnerado derechos garantizados en los arts. 24.1 y 2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en su demanda la suspensión de la ejecución de las resoluciones recurridas. A su juicio, la ejecución haría perder al recurso de amparo su finalidad, tanto si se ejecutara la pena privativa de libertad que le ha sido impuesta (seis meses de prisión con accesoria de inhabilitación especial durante el tiempo de la condena, como autora de un delito del art. 319.2 del Código penal: CP), como si se cumpliera el fallo de la Sentencia de la Audiencia Provincial de Almería en lo referente al acuerdo de demolición de la vivienda objeto de la causa. Aduce, finalmente, que la suspensión solicitada no causaría perjuicios a ningún interés constitucionalmente protegido ni perjuicio para los derechos o intereses de terceras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julio de 2012, la Sala Primera de este Tribunal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julio de 2012 la recurrente presentó en el Registro General de este Tribunal su escrito de alegaciones. Relata que por Auto de 9 de agosto de 2010 se le concedió la suspensión de la pena privativa de libertad por un periodo de dos años, conforme a lo dispuesto en los arts. 80 y 81 CP, de manera que en la fecha actual está prácticamente consolidada con los efectos consabidos, lo que le lleva a modificar el alcance de su solicitud inicial, que finalmente circunscribe a la suspensión del acuerdo de demolición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ese pronunciamiento del fallo de la resolución recurrida, subraya que la vivienda constituye su “domicilio actual” y el de su marido, según acreditaría, dice, el certificado de convivencia expedido por el Ayuntamiento de Abrucena que aporta junto con sus alegaciones, y en el que se certifica, en atención al padrón municipal de habitantes, que ambos figuran inscritos en el domicilio ubicado en la “Carretera de la estación núm. 110” de dicha localidad. Esa vivienda que constituye su “domicilio actual”, según la recurrente, es la que pende del acuerdo de demolición.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perjuicio, caso de llevarse a efecto aquel acuerdo, en consecuencia, sería irreparable, mientras que, por el contrario, sostiene, la suspensión de esa parte del fallo de la Sentencia recurrida no entrañaría una grave perturbación de los intereses generales o de los derechos fundamentales o libertades públicas de terceros. De ello es prueba, en su opinión, que la misma Administración que instó la denuncia que dio lugar a la Sentencia impugnada contemple regularizar edificaciones que se encuentran en la misma situación que la concernida en este proceso, circunstancia que acreditaría que su existencia, aunque se calificara de fuera de ordenación, no supone una perturbación grave de intereses generales. A fin de probar sus afirmaciones, aporta un escrito de febrero de 2007 dirigido por el Alcalde del Ayuntamiento del Abrucena al Juzgado de Instrucción núm. 5 de Almería, a requerimiento de éste en las diligencias previas núm. 28-2007, de las que dimana el procedimiento abreviado núm. 51-2008 en el que se dictó la Sentencia recurrida ante este Tribunal. El requerimiento reclamaba copias testimoniadas de los expedientes administrativos referidos “a una construcción ubicada en el Paraje La Casería, Parcela 44-1 del Polígono 14 en el término municipal de Abrucena” (misma identificación que tiene la vivienda cuya demolición se acuerda en la Sentencia objeto de este proceso constitucional). En su respuesta, el regidor municipal señalaba que “es cierto que en el lugar indicado se halla una edificación. Por otra parte ciertas áreas en torno a La Casería y el Camino Real es intención de este Ayuntamiento declararlas en el PGOU que se está redactando como urbanizables ya que cuenta con la mayoría de los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10 de septiembre de 2012, el Ministerio Fiscal presentó su escrito de alegaciones. Recuerda la doctrina constitucional que dispone que la suspensión cautelar en el proceso de amparo es una medida provisional de carácter excepcional y de aplicación restrictiva, y analiza los supuestos en los que justificadamente puede otorgarse la suspensión, citando, en particular, los relativos a las penas de prisión, penas accesorias y demolición de viviendas. Considera, no obstante, que en lo que interesa a la demolición de la vivienda la recurrente no ha cumplido con la carga de probar que la ejecución de las resoluciones judiciales puede acarrearle un perjuicio que hiciera perder al amparo su finalidad, pues no queda acreditado que se trate de su vivienda habitual, por lo que entiende que se ha de denegar la suspensión solicitada. Considera, en cambio, que procedería la suspensión de la pena privativa de libertad y de la accesoria de inhabilitación, en cuanto que ésta debe seguir la suerte de la pena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expuesto en los antecedentes de esta resolución, la pretensión de suspensión que resolvemos, en congruencia con la petición que formula la recurrente en el trámite de alegaciones de esta pieza, en el que ha desistido de la solicitud adicional de suspensión de la pena privativa de libertad, queda circunscrita al pronunciamiento de la Sentencia dictada por la Sección Primera de la Audiencia Provincial de Almería, de 2 de marzo de 2009, que acuerda la demolición de la vivienda núm. 4 situada en el paraje La Casería, parcela 44 del polígono 14, en el término municipal de Abrucena.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establecido reiteradamente un criterio general de improcedencia de la suspensión de la ejecución de aquellos fallos judiciales que admiten la restitución íntegra de lo ejecutado, como por lo común sucede en los que producen efectos meramente patrimoniales que, por tener un contenido económico, no causan perjuicios de imposible reparación. Sin embargo, se ha apreciado la procedencia de la suspensión en aquellos supuestos en los cuales la afectación de los bienes del recurrente o de sus derechos patrimoniales pudiera devenir definitiva o difícilmente reversible, en cuyo caso aquella regla ha cedido en favor de una ponderación de intereses y valoración de las circunstancias que, eventualmente, han permitido acordar la suspensión de la resolución impugnada. Así ha sucedido, por ejemplo, cuando la ejecución conllevaba el embargo y adjudicación a un tercero de buena fe de ciertos bienes inmuebles, con la consiguiente consolidación de una posición jurídicamente inatacable o de muy difícil y costoso restablecimiento; cuando se declara la resolución de la relación arrendaticia y se acuerda el lanzamiento de la vivienda o local, pues la pérdida de la posesión podría dar lugar a un perjuicio difícilmente reparable en su integridad, al generar una situación irreversible; en supuestos de privación temporal del uso de la vivienda, o, en lo que ahora importa más, de demolición (por todos, ATC 225/1999, de 27 de septiembre), incluso de demolición parcial de la vivienda (ATC 156/2006, de 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anterior doctrina es aplicable al presente caso, puesto que, de llevarse a efecto lo acordado en la Sentencia impugnada en amparo, la demandante se vería privada definitivamente de la posesión y goce de la vivienda controvertida, produciéndosele con ello un perjuicio que cabría calificar de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Discrepa de esta apreciación el Ministerio Fiscal, para quien no se ha justificado el daño irreparable que sufriría la recurrente. Sustenta tal alegación en que quien solicita la suspensión no ha demostrado que la vivienda afectada sea su domicilio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carácter habitual de la residencia no es condición para la suspensión en casos de demolición. En efecto, pese a lo que se afirma, ese criterio no se desprende de nuestra doctrina, no estableciéndose en los Autos citados por el Ministerio público, tres de ellos referidos a supuestos de desalojo de vivienda, no de demolición (AATC 20/1992, de 27 de enero; 155/2002, de 14 de junio, y 268/2009, de 26 de noviembre), y otro a un supuesto de demolición en el que, ciertamente, el carácter de vivienda habitual concurría, pero no fue condicionante en nuestro razonamiento (ATC 156/2006, de 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cualquier modo, ni siquiera podría negarse aquel carácter en la vivienda controvertida, pues no se puede soslayar que la recurrente ha venido ocupando la misma al menos desde el 30 de septiembre de 2003, según se desprende del certificado de convivencia aportado, fundado en el padrón, lo que añadiría a la demolición misma el perjuicio adicional que supone la privación definitiva de esa vivienda concreta, por el natural y prolongado arraigo de la recurrente en ese domicilio (ATC 268/2009, de 26 de noviembre, FJ 3). No obstante, ese elemento del carácter habitual de la vivienda, no determinante, para tomarse en consideración hubiera exigido previamente asegurar la correspondencia entre las dos referencias domiciliarias, pues no coinciden las del certificado de convivencia aportado y la contenida en la resolución judicial recurrida. No será preciso proceder a dicha comprobación, conforme a lo expuesto líneas más atrás.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cabe concluir que de no otorgarse la suspensión solicitada, una eventual estimación del recurso de amparo resultaría tardía para el restablecimiento de los derechos fundamentales que fueran declarados vulnerados, puesto que la controvertida demolición de la vivienda podría haberse producido. Y según hemos declarado anteriormente, la demolición de la vivienda es uno de los supuestos excepcionales en los que procede la suspensión de la resolución impugnada, ya que el perjuicio sería de difícil reparación (AATC 225/1999, de 27 de septiembre, FJ 3; y 156/2006, de 8 de mayo, FJ 2). A ello cabe añadir, por ser ésta sí condición de la suspensión, que no se percibe en este momento procesal, atendidas las circunstancias del presente caso, que la suspensión de la ejecución pueda entrañar una perturbación grave de los intereses generales o de los derechos fundamentales y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sin prejuzgar la decisión de fondo del recurso, procede acordar la suspensión del pronunciamiento de la Sentencia de la Sección Primera de la Audiencia Provincial de Almería, de 2 de marzo de 2009, relativo a la demolición de la vivienda núm. 4, situada en el paraje La Casería, parcela 44 del polígono 14, en el término municipal de Abrucena.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