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septiembre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Francisco Pérez de los Cobos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2363-2010, promovido por don Jokin Mirena Sancho Biurrun, representado por el Procurador de los Tribunales don José Javier Cuervas Rivas y asistido por la letrada doña Amaia Izko Aramendía contra la providencia de la Sección Tercera de la Sala de la Sala de lo Penal de la Audiencia Nacional, de 23 de diciembre de 2009, así como contra el Auto de la misma Sección, de 2 de febrero de 2010, dictados en el expediente de refundición de condenas 3-1998, sobre licenciamiento definitivo del recurrente. Ha intervenido el Ministerio Fiscal ha sido Ponente el Magistrado don Francisco Pérez de los Cobos y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22 de marzo de 2010, don José Javier Cuevas Rivas, Procurador de los Tribunales y de don Jokin Mirena Sancho Biurrun, interpuso recurso de amparo contra la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condenado por la Sección Tercera de la Sala de lo Penal de la Audiencia Nacional (sumario 1-1985 del Juzgado Central de Instrucción núm. 5) como autor de tres delitos de utilización ilegítima de vehículo de motor ajeno con uso de armas y toma de rehenes a tres penas de doce años de prisión mayor y privación del permiso de conducir por cinco años; como autor de un delito de asesinato consumado a la pena de treinta años de reclusión mayor; como autor de dos delitos de robo con intimidación a dos penas de doce años de prisión mayor; por la autoría de un delito de atentado a la pena de veintidós años de reclusión mayor; y como autor de dos delitos de asesinato frustrado a dos penas de veintidós años de reclusión mayor. Del mismo modo, en el sumario 50-1984 del mismo Juzgado Central de Instrucción, la Sección Segunda de la Audiencia Nacional condenó al demandante de amparo como responsable de un delito de utilización ilegítima de vehículo de motor en relación con un delito de robo con homicidio a la pena de veintisiete años de reclusión mayor y accesorias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14 de enero de 1998 la Audiencia Nacional acordó acumular las condenas al darse entre los delitos referidos la conexidad exigida legalmente, “fijándose en una duración de treinta años de privación de libertad el tiempo total de cumplimiento de todas las penas privativas de libertad impuestas en las causas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17 de marzo de 2002 se acordó modificar la liquidación de condena inicialmente practicada, fijándose como fecha de cumplimiento el 16 de agosto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9 de octubre de 2009 el centro penitenciario de Zuera interesó de la Audiencia Nacional la aprobación del licenciamiento definitivo del demandante para el día 8 de diciembre de 2009, siendo tal propuesta rechazada por providencia de 2 de noviembre de 2009 por la que, de conformidad con el dictamen del Ministerio Fiscal, se ordenaba a al centro penitenciario realizar la propuesta de licenciamiento definitivo siguiendo los criterios de la STS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criterio establecido por el órgano judicial, la Administración penitenciaria propuso como fecha de licenciamiento definitivo el 16 de agosto de 2019, siendo aprobada la propuesta mediante providencia de 23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providencia dedujo el demandante de amparo recurso de súplica, que fue desestimado mediante Auto de 2 de febrero de 2010 con fundamento en que frente a la interpretación propiciada por la parte había de prevalecer la sentada por el Tribunal Supremo en la Sentencia ya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a un proceso con todas las garantías (art. 24.2 CE), a la legalidad (art. 25.1 y 2 CE), a la libertad (art. 17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refiere al principio de legalidad (art. 25.1 y 2 CE), en relación con la interpretación de los arts. 70.2 y 100 del Código penal (CP) de 1973, así como del art. 66 del reglamento de prisiones de 1956 y del art. 202 del reglamento penitenciario actual. Se denuncia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1973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derecho a la tutela judicial efectiva (art. 24.1 CE), en relación con el derecho a la libertad (art. 17.1 CE). Estima el recurrente que, a raíz de la nueva interpretación de la aplicación de las redenciones de penas por el trabajo sobre la totalidad de las condenas y no sobre la pena resultante de la aplicación de la reducción de condenas (art. 70.2 CP 1973), han creado las resoluciones impugnadas una situación de indefensión e inseguridad jurídica, por cuanto la aprobación de redenciones por parte de los diferentes Juzgados de Vigilancia Penitenciaria, firmes e intangibles, suponían con la interpretación hasta la STS 197/2006, reducciones de condena respecto de los treinta años. Y es que así se interpretaba y aplicaba por todos los órganos judiciales y administrativo-penitenciarios, sin excepción. Las redenciones de pena reconocidas por resoluciones judiciales firmes son abono de condena y por tanto, afectan al derecho a la libertad consagrado en el art. 17 de la Constitución, lo cual implica la existencia de un deber reforzado de motivación, derivado del art. 24.1 CE, que no se cumple en las resoluciones dictadas por el Tribunal de instancia y contra las que ahora se recurre. Ambas resoluciones deberían explicar las razones por las que limitan la libertad demandante y cambian el criterio hasta el momento mantenido, no bastando, en modo alguno, la remisión que realizan a la Sentencia 197/2006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aduce la vulneración del derecho fundamental a la tutela judicial efectiva, establecido en el artículo 24.1 de la Constitución Española, resultante de la vulneración del derecho a la intangibilidad de las resoluciones judiciales firmes, en relación igualmente a los principios de legalidad y seguridad jurídica. Recuerda que en su procedimiento se acordó acumular las condenas impuestas al penado fijándose treinta años de privación de libertad el tiempo total de cumplimiento de la condena. Consecuencia de ello se solicitó por el centro penitenciario la aprobación del licenciamiento definitivo para el día 8 de diciembre de 2009, fecha resultante de la redención de penas por el trabajo a la pena única de treinta años de prisión. En este sentido, argumenta, no sólo existe una expectativa de reducción de la condena y consecuentemente de libertad, sino que nos encontramos con una resolución firme, nunca cuestionada y nunca modificada, por la que se acumulan todas las condenas impuestas en una única, de donde se deriva la correspondiente liquidación de condena y cuya consecuencia es la aplicación a la misma de la institución de la redención de penas por el trabajo. Las resoluciones judiciales ahora impugnadas atrasan gravemente la fecha de licenciamiento definitivo del recurrente y modifican el criterio uniforme que fijaba los criterios para la ejecución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queja el demandante en amparo de la lesión del principio de legalidad (arts. 25.1 y 9.3 CE), por aplicación retroactiva de ley desfavorable; se denuncia que, con esta pretendida nueva interpretación, de facto se está aplicando retroactivamente el art. 78 CP 1995 (que establece que los beneficios penitenciarios y la libertad condicional se apliquen a la totalidad de las penas impuestas en las Sentencias), a un penado bajo el Código penal de 1973, pues éste no contempla la aplicación de las redenciones a la totalidad de las condenas, una previsión que sí realiza el art. 78 CP 1995 y que es desfavorable. También se destaca que las modificaciones legales en esta materia se realizaron, como se pone de relieve en sus exposiciones de motivos,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al derecho a la igualdad en la aplicación de la ley (art. 14 CE). Con cita de la STC 144/1988, de 12 de julio,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y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criterio aplicado a cientos de presos, en un momento en que la norma (Código penal de 1973) ya está derogada y cuando la nueva interpretación resulta aplicable a un número muy limitado de presos y sin que existan razones fundadas que justifiquen el cambio.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libertad (art. 17.1 CE), tras poner de relieve que, conforme a la jurisprudencia de este Tribunal, la redención de penas por el trabajo afecta al derecho a la libertad (SSTC 31/1999, de 8 de marzo, y 76/2004, de 26 de abril), se denuncia que el mencionado cambio de criterio jurisprudencial contra el reo modifica su expectativa de libertad, implicando un alargamiento de su estancia en prisión, sin base legal ni reglamentaria (se cita de nuevo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una suerte de tiempo virtual, como señala la STS de 5 de abril de 2001. Esto queda patente en la inicial liquidación de condena y propuesta de licenciamiento definitivo efectuada por el centro penitenciario, por lo que la denegación del licenciamiento definitivo viola el art. 17 CE, el art. 7.1 del Convenio europeo y el art. 15.1 del Pacto internacional de derechos civiles y políticos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vulnerado el art. 25.2 CE, en relación con el art. 10.3 PIDCP; se destaca que, de conformidad con el art. 25.2 CE, las penas privativas de libertad han de estar orientadas a la reinserción social, fin al que se orienta la redención de penas por el trabajo como instrumento de tratamiento penitenciario, y que la nueva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mayo de 2011, la Sala Segunda de este Tribunal acordó la admisión a trámite de la demanda así como, a tenor de lo establecido en el artículo 51 Ley Orgánica del Tribunal Constitucional (LOTC), requerir atentamente a la Sección Tercera de la Sala de lo Penal de la Audiencia Nacional para que remitiera testimonio de las actuaciones correspondientes al expediente de refunción de condenas núm. 3-1998 (ejecutoria núm. 30-1996), interesándose al tiempo que emplazasen a quienes fueron parte en el procedimiento, a excepción del demandante de amparo, para que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20 de junio de 2011 la Sala Segunda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diligencia de ordenación de 12 de abril de 2012 se acordó dar vista de las actuaciones a las partes personadas y al Ministerio público por término de veinte días, dentro de los cuales podrían presentar las alegaciones que estimasen pertinentes,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 de julio de 2008 presentó sus alegaciones el Ministerio Fiscal. En ellas aduce en primer término que el recurso es inadmisible por falta de agotamiento de la vía judicial previa, pues el demandante debió recurrir en casación el Auto de 2 de febrero de 2010 que desestimó el recurso de súplica contra la aprobación del licenciamiento definitivo, pues en tal fecha ya se había consolidado la doctrina del ATC de 7 de abril de 2008, según el cual a los Autos sobre aprobación del licenciamiento definitivo les es de aplicación la previsión del art. 988 de la Ley de enjuiciamiento criminal en la medida en que completan la fijación del límite máximo de cumplimiento de penas acumuladas. Por lo demás esa ha sido la postura mantenida por el Pleno del Tribunal Constitucional en la STC 60/2012, de 29 de marzo, seguida luego por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cuestiones de fondo suscitadas, considera el Ministerio Fiscal que la totalidad de las mismas han sido abordadas y rechazadas por este Tribunal, citando a tal efecto los distintos fundamentos jurídicos de la STC 39/2012 en los que las indicadas cuestiones han sido estudiadas.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siguiendo la doctrina sentada por este Tribunal, rechaza que se produjera la aducida vulneración del derecho a la tutela judicial efectiva por desconocimiento de la intangibilidad de las resoluciones judiciales firmes, pues ninguna resolución sobre licenciamiento definitivo se dictó en el proceso a quo de la que quepa predicar la firmeza necesaria. Tal es el caso de las resoluciones sobre aprobación de redenciones de penas por el trabajo —que no contienen liquidaciones de condena—, o de las propuestas de licenciamiento efectuadas por el centro penitenciario correspondiente en cuanto no fueron aprobadas por el órgano judicial, sino antes al contrario, se ordenó su rectificación. No existió, por tanto, ninguna resolución judicial firme en la que se partiese de un determinado criterio de cómputo de las redenciones de pena por el trabajo distinto al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septiembre de 2012 se señaló para deliberación y votación de la presente Sentencia el día 17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la providencia de la Sección Tercera de la Sala de la Sala de lo Penal de la Audiencia Nacional, de 23 de diciembre de 2009, así como contra el Auto de la misma Sección, de 2 de febrero de 2010, dictados en el expediente de refundición de condenas 3-1998, que, en aplicación de lo establecido en la Sentencia del Tribunal Supremo 197/2006, de 28 de febrero, fija la fecha de licenciamiento definitivo el día 16 de agosto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la legalidad (art. 25.1 y 2 CE), a la libertad (art. 17.1 CE) y a la igualdad en la aplicación de la ley (art. 14 CE), con la argumentación que queda ampliamente expuesta en los antecedentes de esta resolución. El Ministerio Fiscal, por su parte, interesa la inadmisión del recurso ex art. 44.1 a) de la Ley Orgánica del Tribunal Constitucional (LOTC), por falta de agotamiento de la vía judicial previa; subsidiariamente, interesa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recordábamos en la reciente STC 89/2011, de 6 de junio, FJ 2,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Este requerimiento viene expresamente dispuesto por el art. 44.1 a) LOTC al exigir que se hayan agotado todos los medios de impugnación previstos por las normas procesales para el caso concreto dentro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citado requisito de admisibilidad, hemos afirmado en la STC 174/2011, de 7 de noviembre, que “la exigencia de agotamiento de la vía judicial previa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como fundamento del recurso de amparo (STC 8/1993, FJ 2), pues son ellos quienes tienen encomendada en nuestro sistema constitucional la tutela general de los derechos y libertades (STC 61/1983, FJ 2)’ [SSTC 85/1999, de 10 de mayo, FJ 5; y 71/2000, de 13 de marzo, FJ 3].” En definitiva, “la exigencia de agotar la vía judicial previa no es en modo alguno una formalidad cuya eficacia real pueda ser debilitada por una interpretación decididamente antiformalista del precepto que la contiene, sino que se trata de un elemento esencial en el sistema de articulación de la jurisdicción constitucional con la jurisdicción ordinaria, cuyo exacto cumplimiento resulta indispensable para preservar el ámbito que al Poder Judicial reserva la Constitución (art. 117.3 CE) y para no desnaturalizar tampoco la función jurisdiccional propia de este Tribunal como su intérprete supremo (art. 1 LOTC; SSTC 211/1999, de 29 de noviembre, FJ 2; 128/2002, de 3 de junio, FJ 2; y 214/2002,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citada doctrina, y de igual modo a como hemos acordado en las SSTC 128/2012, de 18 de julio, y 58/2012, 60/2012, y 63/2012, todas de 29 de marzo, ante supuestos idénticos al presente, procede dictar Sentencia inadmitiendo el recurso de amparo por falta de agotamiento de la vía judicial previa [art. 44.1 a) LOTC], al acudir directamente a este Tribunal sin haber hecho uso del recurso de casación ante el Tribunal Supremo previsto en el art. 988 de la Ley de enjuiciamiento criminal, según el cual contra los Autos por los que se determina el límite máximo de cumplimiento en los casos de acumulación de condenas impuestas en distintos procesos pero que hubieran podido ser enjuiciados en un único proceso —art. 70.2 del Código penal de 1973— cabrá interponer recurso de casación por infracción de ley. Tal como hemos afirmado en los citados pronunciamientos, “tal previsión resulta aplicable a los Autos que aprueban el licenciamiento definitivo en cuanto lo en ellos resuelto incide en el límite concreto de pena privativa de libertad que ha de cumplir el penado. En tal sentido, aun cuando la jurisprudencia del Tribunal Supremo no siempre fue unánime en cuanto a la recurribilidad en casación de los Autos de liquidación de condena, tal incertidumbre fue definitivamente despejada al menos un año antes [casi dos años en el presente caso] de dictarse las resoluciones impugnadas mediante el Auto del Tribunal Supremo de 7 de abril de 2008, dictado precisamente resolviendo un recurso de queja contra la denegación de la preparación de un recurso de casación contra el Auto desestimatorio del recurso de súplica deducido contra el Auto aprobatorio del licenciamiento definitivo del penado. En él, saliendo expresamente al paso de las incertidumbres precedentes, se deja sentado que el carácter complementario de los Autos de aprobación del licenciamiento definitivo respecto de los que fijan el límite máximo de cumplimiento de penas acumuladas, abona la recurribilidad en casación de los Autos de licenciamiento definitivo en cuanto concretan y fijan definitivamente el máximo de cumplimiento respecto de las penas que se acumulan” (SSTC 128/2012, FJ 3; 58/2012, FJ 3; 60/2012, FJ 3; 63/2012,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formulado por don Jokin Mirena Sancho Biurrun contra la providencia de la Sección Tercera de la Sala de la Sala de lo Penal de la Audiencia Nacional, de 23 de diciembre de 2009, así como contra el Auto de la misma Sección, de 2 de febrero de 2010, que desestimó el recurso de súplica deducido contra la providencia 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