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4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311-2003, planteada por la Sección Quinta de la Audiencia Provincial de Pontevedra, en relación con el art. 123.3 de la Ley del Parlamento de Galicia 4/1995, de 24 de mayo, de Derecho civil de Galicia, por posible vulneración de los arts. 14 y 39 CE. Han comparecido y formulado alegaciones la Xunta de Galicia y el Fiscal General del Estado.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enero de 2003 se registró en este Tribunal Constitucional un escrito de la Sección Quinta de la Audiencia Provincial de Pontevedra, fechado el día 10 anterior, al que se acompaña Auto del mismo órgano jurisdiccional, de 11 de noviembre de 2002, por el que se plantea cuestión de inconstitucionalidad en relación con el art. 123.3 de la Ley 4/1995, de 24 de mayo, de Derecho civil de Galicia, por posible infracción de los arts. 14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escrito de 4 de febrero de 2000, doña M.H.G., quien actuaba en nombre de su hijo incapaz, interpuso demanda de alimentos provisionales contra la usufructuaria viudal de don B.S.C. Éste había estado casado en primeras nupcias con quien formuló la demanda. Fruto de ese primer matrimonio había sido el nacimiento de un hijo declarado incapaz por Sentencia judicial en mayo de 1986. El segundo matrimonio no tuvo descendencia. Disuelto el primer matrimonio y hasta la fecha de su fallecimiento, que tuvo lugar el 14 de junio de 1996, don B.S.C. habría venido abonando a su hijo la pensión alimenticia acordada en el correspondiente convenio regulador. En el testamento abierto otorgado ante notario el 26 de diciembre de 1995, don B.S.C. lega a su segunda esposa “el usufructo universal, vitalicio y sin fianza, de la totalidad de su herencia, facultándola para tomar por sí misma posesión de tal legado” (cláusula tercera). Igualmente, lega a su hijo “la legítima corta o estricta, en cualquier caso sustituido por las hermanas del otorgante ... por partes iguales” (cláusula cuarta) e instituye como únicas y universales herederas de todos sus bienes a su esposa y a sus hermanas, “a partes iguales entre las tres” (cláusula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Conclusa la tramitación del proceso, el Juzgado de Primera Instancia núm. 6 de Vigo dictó Sentencia el 27 de julio de 2000, estimatoria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dicha Sentencia, la demandada y vencida en la instancia, interpuso recurso de apelación. El día 26 de junio de 2002 se celebró la vista del recurso, tras lo cual se declaró concluso y visto para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5 de julio de 2002, la Sección Quinta de la Audiencia Provincial de Pontevedra acordó dar audiencia a las partes y al Ministerio Fiscal a fin de que alegaran lo que estimasen pertinente sobre el planteamiento de una cuestión de inconstitucionalidad respecto del art. 123.3 de la Ley de Derecho civil de Galicia por posible vulneración de los arts. 14 y 39 CE. La parte apelante, por escrito de 19 de septiembre de 2002, expresó su opinión contraria. El Ministerio Fiscal, mediante escrito de 21 de septiembre de 2002, señaló la procedencia de plantear la cuestión de inconstitucionalidad, en tanto que la parte apelada, por escrito de 10 de octubre siguiente, convino en ello en la medida en que las dudas de constitucionalidad que el precepto legal suscita no pudieran ser salvadas apurando las posibilidades interpretativas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el órgano judicial dictó el Auto de 11 de noviembre de 2002 por el que se plantea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contenido del Auto de promoción, importa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argumentativa del Auto comienza con la referencia a los antecedentes procesales que han sido expuestos en el apartado anterior. Seguidamente concreta la duda de constitucionalidad en el apartado tercero del art. 123 de la Ley 4/1995, de 24 de mayo, de Derecho civil de Galicia, “por cuanto la obligación alimenticia a cargo del cónyuge viudo y a costa del usufructo, se hace en relación con los hijos y descendientes comunes, es decir, no se extiende a los que lo son sólo del fallecido, aun cuando éstos también deben soportar el usufructo.” El precepto se contrasta con otros similares de la legislación foral (arts. 84.4 de la Compilación del Derecho civil de Aragón, 68 de la Compilación de las Islas Baleares y 69 del Código de sucesiones de Cataluña, así como la Ley 259.3 de la Compilación de Navarra), para poner de manifiesto que es común a todos ellos la imposición de la obligación de alimentos a los hijos del causante que no lo sean también del cónyuge supérstite y usufructuario. En opinión de la Sala, “el precepto no sólo parece inservible pues si los hijos o descendientes son comunes, es decir, del causante y del viudo usufructuario, es evidente que éste estaría obligado a prestar alimentos en su condición de progenitor o ascendiente, y ello no sólo con cargo al usufructo sino también con su patrimonio personal”. Además entiende la Sala “que puede ser inconstitucional pues su aplicación llevaría necesariamente a desestimar la demanda de alimentos provisionales planteada pese a que para quien se solicitan, el único hijo del causante, era alimentista de éste mientras vivió, además de ser ahora su legitimario”.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órgano judicial promotor de la cuestión, el precepto legal, en cuanto desprotege a los descendientes no comunes y que lo sean del causante, resulta contrario al art. 14 CE porque representa una discriminación por razón del nacimiento. También podría vulnerar el art. 39 CE, de acuerdo con la doctrina establecida en la STC 184/1990, de 15 de noviembre, en cuyo fundamento jurídico 2 se afirma que no son necesariamente incompatibles con el art. 39.1 CE “aquellas medidas de los poderes públicos que otorguen un trato distinto y más favorable a la unidad familiar basada en el matrimonio que a otras unidades convivenciales, ni aquellas otras medidas que faciliten o favorezcan el ejercicio del derecho constitucional a contraer matrimonio (art. 32.1 de la Constitución), siempre, claro es, que con ello no se coarte ni se dificulte irrazonablemente al hombre y la mujer que decidan convivir more uxorio.” Y siempre que dichas medidas diferenciadoras afecten “sólo a los integrantes de dicha unión respecto de otras previsiones normativas que tienen como destinatarios a los hijos, ya que éstos son iguales ante la ley con independencia de su filiación (art. 39.2 de la Constitución) y a los cuales, habidos dentro o fuera del matrimonio, los padres deben prestar asistencia de todo orden (art. 39.3 de la Constitución), precisamente, y entre otros motivos, porque su filiación y su condición de habidos dentro o fuera del matrimonio es el resultado de decisiones ajenas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la Sala promueve cuestión de inconstitucionalidad en relación con el art. 123.3 de la Ley 4/1995, de 24 de mayo, de Derecho civil de Galicia, por vulnerar los arts. 14 y 39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Constitucional, de 25 de marzo de 2003, se acordó admitir a trámite la presente cuestión de inconstitucionalidad así como dar traslado de las actuaciones recibidas, conforme establece el art. 37.2 de la Ley Orgánica del Tribunal Constitucional (LOTC), al Congreso y al Senado, así como al Consejo de Gobierno de la Xunta de Galicia y al Parlamento de la misma Comunidad Autónoma, por conducto de sus Presidentes, al Gobierno, por conducto del Ministro de Justicia, y al Fiscal General del Estado al objeto de que, en el improrrogable plazo de quince días, puedan personarse en el proceso y formular las alegaciones que estimen convenientes. Finalmente se ordenó publicar la incoación de la cuestión de inconstitucionalidad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por escrito registrado en fecha 10 de abril de 2003, comunicó el acuerdo de la Mesa de la Cámara de personarse en el procedimiento y ofrecer su colaboración a los efectos del art. 88.1 LOTC. En la misma fecha la Presidenta del Congreso de los Diputados comunicó el acuerdo de la Mesa de la Cámara de no personarse en el procedimiento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mismo día 10 de abril de 2003, el Abogado del Estado se personó en nombre del Gobierno, manifestando que se abstenía de formular alegaciones, aunque solicitó que se le notifique la Sentencia que en su día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abril de 2003 el Fiscal General del Estado presentó su escrito de alegaciones en el que interesa la estimación de la presente cuestión de inconstitucionalidad por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antecedentes del caso señala, en primer lugar, su perplejidad por la forma en que se realiza el planteamiento de la cuestión pues indica que la misma se fundamenta en la imposibilidad de acudir a la analogía para resolver la pretensión ya que, según el Auto advierte, a ella solamente cabría acudir cuando el supuesto de hecho que se debe decidir carezca de regulación, lo que no acontece en el presente caso. Tal afirmación le parece inconsistente al Fiscal General del Estado, quien entiende que lo que debió hacer la Audiencia es indagar por qué la norma cuestionada impone al usufructuario universal de viudedad la obligación de prestar alimentos a los hijos comunes para determinar si dicha norma podía también ser aplicada respecto de los hijos no comunes. Para el Ministerio público el fundamento de esta obligación de pagar alimentos es que los mismos son descendientes comunes del cónyuge causante y del viudo, con lo que dicha norma no puede ser aplicada para resolver si el cónyuge viudo tiene obligación de prestar alimentos, con cargo al usufructo, al demandante porque el mismo era solamente descendiente del cónyuge premuerto.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indica que también podía haberse intentado la posibilidad de resolver la pretensión mediante una interpretación de la norma cuestionada conforme a la Constitución si bien señala que, siendo doctrina constitucional admitir la procedencia de plantear cuestiones de inconstitucionalidad sobre normas que sean susceptibles de interpretación conforme, debe procederse al examen de fondo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argumenta que la inconstitucionalidad de la norma cuestionada puede encontrar su fundamento en los arts. 14 y 39 CE, por cuanto el precepto niega a los hijos habidos por el cónyuge con anterioridad a contraer matrimonio con aquel en cuyo favor se ha constituido el usufructo de viudedad el derecho a reclamar alimentos con cargo a los bienes que sean objeto de usufructo. Al respecto alega, con cita de la STC 200/2001, que el art. 39 CE consagra la obligación de los poderes públicos de proteger a la familia y el art. 14 CE configura un derecho subjetivo de los ciudadanos de tal manera que ante supuestos iguales el tratamiento ha de ser igual y si bien es cierto que cabe introducir diferencias en el tratamiento, tales diferencias tienen que estar convenientemente justificadas y ser proporcionadas a la finalidad pretendida. En tales supuestos, además, la carga de acreditar el carácter justificado de la diferenciación recae sobre quien asume la defensa de la misma y se torna aún más rigurosa que en aquellos casos que quedan dentro de la cláusula general de igualdad del art. 14 CE al venir dado el factor de discriminación por uno de los típicos que concreta el precepto constitucional como es el nacimiento en el que, además, el principio constitucional de no discriminación por razón de filiación se conecta con el mandato constitucional del art. 39.2 CE. La proyección de estos criterios sobre la norma cuestionada determina que, para el Fiscal General del Estado, haya de ser declarada inconstitucional puesto que la misma no satisface la exigencia de justificar la diferenciación en el tratamiento normativo que otorga ya que únicamente cabe concluir que dicha razón estriba en que los no beneficiarios no son hijos comunes del usufructuario y del cónyuge que constituyó el usufructo, diferenciación que entiende proscrita por los arts. 14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Fiscal General del Estado estima que ha de declararse nula la disposición contenida en el art. 123.3 de la Ley del Parlamento de Galicia 4/1995 en la medida en que no reconoce a los hijos del cónyuge premuerto, cuando éste haya contraído ulteriores nupcias, el derecho a reclamar alimentos del cónyuge supérstite con cargo a los bienes que constituyan el objeto del usufructo de viudedad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23 de abril de 2003, el Director General-Jefe de la Asesoría Jurídica General de la Xunta de Galicia compareció en el proceso y formuló las alegaciones que, resumidamente,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antecedentes del caso indica que la Audiencia Provincial parece sostener que la Ley gallega, al no establecer una obligación de alimentos a cargo del usufructuario y a favor del hijo exclusivo del causante, propicia una infracción del principio de igualdad, dado que la diferenciación introducida no tendría una justificación objetiva y razonable, así como el art. 39 CE en cuanto establece la obligación de los poderes públicos de asegurar la protección integral de los hijos cualesquiera que sean sus circunstancias de filiación o de estado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Centrada la cuestión en tales términos, señala que la primera tarea a abordar es la del alcance o interpretación correcta del art. 123.3 de la Ley 4/1995. En primer lugar, afirma que de su dicción literal no se deriva ningún efecto inconstitucional, pues es evidente que los descendientes del usufructuario tienen derecho a percibir alimentos, de forma que la posible duda de constitucionalidad derivaría no de lo que el precepto dice sino de lo que omite, esto es, del hecho de que la obligación alimenticia no se extienda también a los hijos exclusivos del causante. De lo anterior deduce que, estando ante una posible inconstitucionalidad por omisión, el precepto solamente sería inconstitucional si la Constitución impusiese como contenido necesario del precepto la extensión de la obligación de alimentos al hijo exclusivo del causante e, incluso así, podría afirmarse la constitucionalidad del precepto si, a través de una interpretación teleológica o sistemática, pudiese entenderse aquel comprendido en el ámbito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cuáles son las posibles interpretaciones del precepto controvertido indicando que la primera opción radicaría en entenderlo en su estricto tenor literal siendo evidente que los hijos del usufructuario tienen derecho a alimentos de acuerdo tanto con la legislación gallega como con el Código civil aun cuando el legislador gallego habría optado por silenciar o no establecer una obligación de alimentos a favor de los hijos exclusivos del causante. Una segunda interpretación se basaría en criterios teleológicos y sistemáticos entendiendo que la finalidad del precepto consiste en compensar al legitimario, mediante el establecimiento de una obligación alimenticia, de la privación de la posesión y frutos de sus bienes incluidos en su porción hereditaria. Ello, unido a lo dispuesto en el art. 508 del Código civil que establece a cargo del usufructuario la obligación de pagar las pensiones alimenticias, impondría una interpretación extensiva del precepto que incluyera en su ámbito de aplicación a los hijos exclusivos del causante, interpretación que hubiera evitado el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confronta el contenido del precepto con los preceptos constitucionales que se consideran infringidos. Así, en relación con la primera de las interpretaciones propuestas señala que la posible y expresa omisión del hijo exclusivo en relación con la obligación alimenticia a cargo del usufructuario constituye una opción legislativa que no infringe ningún precepto constitucional. Así, descarta la vulneración del art. 39 CE por cuanto entiende que el mismo no tiene un alcance que permita prefigurar hasta sus últimas consecuencias instituciones civiles como el régimen de legítimas o la obligación de prestar alimentos entendiendo excesivo que la obligación de los padres de asistir a los hijos se extienda también a la inexcusable necesidad tanto de establecer una obligación de alimentos a cargo de quien no tiene un vinculo parental con quien deba percibirlos como de predeterminar un concreto régimen sucesorio, ámbitos ambos en los que el legislador cuenta con un amplio margen para perfilar estas instituciones de la forma que estime conveniente. Tampoco estima que el precepto legal suponga una vulneración del derecho de todos los ciudadanos a la igualdad ante la ley. Señala que, conforme a la doctrina constitucional, para apreciar tal vulneración resulta necesario que se aporte un término de comparación y que las situaciones respecto a las que se pretende idéntico tratamiento sean homogéneas, homogeneidad que no concurriría en el presente supuesto ya que la situación del hijo común y la del hijo exclusivo del causante son radicalmente diferentes de cara a la prestación de alimentos, por el simple hecho de que las relaciones de parentesco también son diferentes, siendo ese parentesco el que configura la obligación de alimentos. Desde esa óptica extender la obligación de alimentos a situaciones en las que no existe un vínculo parental puede ser una opción del legislador, a fin de paliar o remediar situaciones que pudieran ser materialmente injustas derivadas de la aplicación de instituciones sucesorias respecto a las cuales el legislador opera con un amplio margen de discrecionalidad, pero no una consecuencia derivada necesariamente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pese a lo anteriormente expuesto, la representación procesal de la Xunta de Galicia señala que en el supuesto que dio origen a la presente cuestión cabría una interpretación de la que se derivase la obligación de prestar alimentos al hijo exclusivo del causante y a cargo del cónyuge usufructuario como compensación de la falta de plena disposición de la porción hereditaria de los legitimarios. Así, cuando, como en el caso de usufructo universal, se permite una situación de subsistencia de vínculos entre el patrimonio del causante y el del legitimario que percibía alimentos parecería razonable que entrase en juego la previsión del art. 508 del Código civil y se considerase que la obligación de prestar alimentos subsiste mientras dure el usufructo. A ello debe unirse una interpretación teleológica del art. 123.3, que tendría como finalidad compensar al legitimario por la pérdida de la posesión y frutos de sus bienes mientras dura el usufructo, por lo cual no habría inconveniente en corregir el estricto tenor literal del precepto entendiendo incluido en el derecho de alimentos al hijo exclusivo del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30 de abril de 2003 el Presidente del Parlamento de Galicia comunicó el acuerdo de la Mesa de la Cámara de personarse en el proceso y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octubre de 2012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plantea en relación con el art. 123.3 de la Ley 4/1995, de 24 de mayo, de Derecho civil de Galicia, por posible vulneración de los arts. 14 y 39 CE. Conforme al citado precepto, el titular del usufructo voluntario de viudedad viene obligado a “prestar alimento, con cargo al usufructo, a los hijos y descendientes comunes que lo precisen”.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se contrae a los términos en los que el mencionado apartado tercero del art. 123 establece la obligación de alimentos. Dicha obligación, que pesa sobre el cónyuge viudo y se hace efectiva a costa del usufructo, se establece únicamente en beneficio de los hijos y descendientes comunes, de modo que el precepto cuestionado no la extiende a aquellos descendientes que lo son solamente del fallecido que concedió el usufructo voluntario de viudedad en favor de su cónyuge. Exclusión de los descendientes del causante que no lo fueran también del usufructuario supérstite en la que el órgano judicial residencia la vulneración de los arts. 14 y 39 CE, en cuanto que la misma representaría una discriminación por razón de nacimiento contraria a los citados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planteada la cuestión, debemos precisar previamente dos aspectos que han de ser sucesivamente despejados a fin de permitir el enjuiciamiento del fondo del asunto. Éstos son el relativo a la vigencia del precepto objeto del proceso así como, en segundo lugar, el relativo a la posible existencia de una interpretación del precepto que haría innecesario el planteamiento de la cuestión de inconstitucionalidad en la medida en que el precepto cuestionado podría ser interpretado de forma conforme con las previsiones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primer aspecto citado, procede poner de manifiesto que durante la pendencia del presente proceso la Ley 4/1995, de 24 de mayo, de Derecho civil de Galicia, ha sido derogada por la Ley 2/2006, de 14 de junio, del mismo título, de suerte que el concreto precepto ahora cuestionado no está en vigor en el momento de resolver este proceso constitucional habiendo sido sustituido por el art. 234.3 de la última norma citada, precepto de muy similar tenor al cuestionado si bien con la relevante diferencia de que en su redacción ha desaparecido la referencia al carácter común de los hijos o descendientes que precisen los alimentos con cargo al usufructo viudal, de forma que el mismo señala lo siguiente: “Prestar alimento, con cargo al usufructo, a los hijos y descendientes que lo precisen”.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desaparición sobrevenida del precepto cuestionado no conlleva automáticamente, como es sabido, la pérdida de objeto de la cuestión de inconstitucionalidad planteada. En este sentido debe recordarse que, como señala, por ejemplo, el fundamento jurídico 2 de la STC 179/2006, de 13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la de que en las cuestiones de inconstitucionalidad los efectos extintivos sobre el objeto del proceso como consecuencia de la derogación o modificación de la norma cuestionada vienen determinados por el hecho de que, tras esa derogación o modificación, resulte o no aplicable aquélla en el proceso a quo y de su validez dependa la decisión a adoptar en éste (entre las últimas, SSTC 255/2004, de 23 de diciembre, FJ 2; 10/2005, de 20 de enero, FJ 2; 102/2005, de 18 de abril, FJ 2; y 121/2005, de 10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dicha doctrina al presente caso hace que debamos valorar la incidencia que sobre la cuestión planteada tiene la derogación del art. 123.3 de la Ley del Parlamento de Galicia 4/1995, tomando como criterio el de su eventual aplicación en el proceso que ha dado origen a la presente cuestión de inconstitucionalidad. En relación con este extremo procede señalar que, conforme a la disposición transitoria segunda de la ya mencionada Ley 2/2006, la misma se aplicará a las sucesiones cuya apertura tenga lugar a partir de la entrada en vigor de la misma, situación que es evidente que no concurre en el supuesto que examinamos y que determina que, en el caso concreto sometido a su consideración, el órgano judicial haya de aplicar el precepto de cuya constitucionalidad duda. Por ello, dado que el mismo resulta de aplicación en el proceso a quo y que de su validez depende la decisión a adoptar por el órgano judicial, debe ser enjuiciado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posible existencia de una interpretación del precepto conciliable con las previsiones constitucionales, el propio Auto de planteamiento pone de manifiesto que no puede compartir el criterio seguido por el Juzgado de instancia en el sentido de apurar las posibilidades interpretativas para concluir, a partir de lo dispuesto en el art. 508 del Código civil, que el precepto a quienes verdaderamente excluye es sólo a los hijos y descendientes del usufructuario que no lo fueran del causante dado que lo que persigue es compensar al legitimario de la privación del uso y frutos de su porción hereditaria. La Sala proponente disiente de esta interpretación pues, en su criterio, la misma vendría impedida tanto por la claridad de los términos legales, los cuales no admiten una exégesis correctora que permita salvar los obstáculos expuestos en el Auto de planteamiento, como por la imposibilidad de recurrir a la analogía puesto que no hay una laguna legal que deba ser cubierta dado que la regulación es, como ya se ha apuntado, clara e indubitada. Para la Sección Quinta de la Audiencia Provincial de Pontevedra no existe la posibilidad de diversos entendimientos de la norma de modo tal que hubiera de seguirse aquel más conforme con la Constitución sino que estamos ante un supuesto expresamente regulado y del que, además, depende la solución del litigio sometido 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cabe señalar, de acuerdo con una reiterada doctrina constitucional, que la finalidad de la cuestión de inconstitucionalidad no es en modo alguno resolver controversias interpretativas sobre la legalidad, surgidas entre órganos jurisdiccionales o dudas sobre el alcance de determinado precepto legal para lo cual el ordenamiento jurídico dispone de otros cauces. Su función se reduce al enjuiciamiento de la conformidad a la Constitución de una norma con rango de ley que sea aplicable al caso y de cuya validez dependa el fallo (SSTC 157/1990, de 18 de octubre, FJ 2; y 114/1994, de 14 de abril, FJ 2; ATC 62/1997, de 26 de febrero, FJ 2). En tal sentido hay que entender que la presente cuestión de inconstitucionalidad resulta viable porque el órgano judicial duda efectivamente de la constitucionalidad de un precepto legal a cuyo tenor literal se considera sujeto, sin que este Tribunal deba rectificar el entendimiento que muestra la Sala promotora sobre su sujeción al enunciado legal de cuya constitucionalidad duda; y es que es claro que la interpretación conforme a la Constitución de los preceptos legales tiene también sus límites, entre los que se encuentra el respeto al propio tenor literal de aquéllos (por todas, SSTC 222/1992, de 11 de diciembre, FJ 2; y 138/2005, de 26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dijimos en la STC 105/1988, de 8 de junio, FJ 1 c), “el hecho de que sea posible una interpretación de la norma cuestionada que sea conforme con la Constitución, no permite considerar a la cuestión en sí misma como mal fundada, pues lo cierto es que el art. 163 de la Constitución y el art. 35 de la Ley Orgánica de este Tribunal se limitan a exigir, como único requisito de fondo, el que una norma con rango de ley aplicable al caso y de cuya validez dependa el fallo, pueda ser contraria a la Constitución, sin condicionar el planteamiento de la cuestión a la imposibilidad de la interpretación conforme con la Constitución. Y si bien el art. 5, apartado 3, de la Ley Orgánica del Poder Judicial (Ley Orgánica 6/1985, de 1 de julio), dice textualmente que ‘procederá el planteamiento de la cuestión de inconstitucionalidad, cuando por vía interpretativa no sea posible la acomodación de la norma al ordenamiento constitucional’, tal regla no puede entenderse como limitativa de los términos sobre el planteamiento de la cuestión contenidos en el art. 37 de la Ley Orgánica del Tribunal y ofrece únicamente a los Jueces y Tribunales la alternativa entre llevar a cabo la interpretación conforme con la Constitución o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aspecto reseñado no constituye obstáculo para que este Tribunal entre en el examen de las vulneraciones de los preceptos constitucionales que se imputan a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se ha recogido con más detalle en los antecedentes, el fondo del asunto que plantea la cuestión de inconstitucionalidad que se está examinando resulta ser el relativo a la vulneración del art. 14 en relación con el 39 CE, en cuanto que el precepto cuestionado discriminaría a los hijos o descendientes del causante que no tengan la condición de comunes con el usufructuario ya que aquellos quedan excluidos de la condición de beneficiarios de la obligación de prestar alimentos que pesa sobre el usufructuario con cargo a los frutos y rentas derivados de los bienes de la herencia.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 anterior es claro que la duda de constitucionalidad aquí suscitada se relaciona con lo que en nuestra doctrina hemos denominado derecho a la igualdad en la Ley consagrado en el art. 14 CE así como con las prohibiciones de discriminación contempladas en el mismo precepto constitucional en relación con el art.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los rasgos esenciales de nuestra doctrina pueden encontrarse sintetizados en la STC 295/2006, de 11 de octubre, FJ 5, conforme a la cual el principio de igualdad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otras, SSTC 76/1990, de 26 de abril, FJ 9; 214/1994, de 14 de julio, FJ 8; 46/1999, de 22 de marzo, FJ 2; 200/2001, de 4 de octubre, FJ 4 a); 39/2002, de 14 de febrero, FJ 4; 96/2002, de 25 de abril, FJ 7; 152/2003, de 17 de julo, FJ 5 c); 193/2004, de 4 de noviembre, FJ 3; 255/2004, de 23 de diciembre, FJ 4; 10/2005, de 20 de enero, FJ 5; 57/2005, de 14 de marzo, FJ 3; y 54/2006, de 27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medida en que la norma controvertida excluye a determinadas personas en razón de no ser descendientes comunes del causante y del usufructuario, la cuestión que examinamos también se conecta con una de las específicas prohibiciones contenidas en el art. 14 CE en relación con el 39.2 CE como es la interdicción de la discriminación por razón de nacimiento. En consecuencia procede que también hagamos mención a la reiterada doctrina constitucional sobre las prohibiciones de discriminación recogidas en el mencionado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este Tribunal,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(STC 39/2002, de 14 de febrero, FJ 4, y las que en ella se citan). Ello no significa, no obstante, que los motivos de discriminación que dicho precepto constitucional prohíbe no puedan ser utilizados excepcionalmente como criterio de diferenciación jurídica, si bien en tales supuestos el canon de control, al enjuiciar la legitimidad de la diferencia y las exigencias de proporcionalidad, resulta mucho más estricto así como más rigurosa la carga de acreditar el carácter justificado de la diferenciación.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recuerda la STC 9/2010, de 27 de abril, FJ 3 b): “a diferencia del derecho general a la igualdad, que no postula ni como fin ni como medio la paridad sino sólo la razonabilidad del criterio que funda la diferencia de trato y la proporcionalidad de las consecuencias que de ella se derivan, la prohibición de discriminación por las causas específicas contenidas en el art. 14 CE implica, por una parte, ‘un juicio de irrazonabilidad de la diferenciación establecida ex Constitutione, que impon[e]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(STC 126/1997, de 3 de julio, FJ 8, con cita de las SSTC 229/1992, de 14 de diciembre, FJ 4; 75/1983, de 3 de agosto, FFJJ 6 y 7; 209/1988, de 10 de noviembre, FJ 6)’; y, por otra parte,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81/1982, de 21 de diciembre, FJ 2)’ (STC 200/2001,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respecto de la prohibición de discriminación del art. 14 CE en relación con el nacimiento, el fundamento jurídico 4 c) de la STC 200/2001, de 4 de octubre, nos recuerda que dentro de dicha prohibición este Tribunal ha encuadrado la igualdad entre las distintas clases o modalidades de filiación [SSTC 7/1994, de 17 de enero, FJ 3 b); 74/1997, de 21 de abril, FJ 4; 67/1998, de 18 de marzo, FJ 5; AATC 22/1992, de 27 de enero; 324/1994, de 28 de noviembre], de modo que deben entenderse absolutamente equiparadas éstas. Este principio constitucional de no discriminación por razón de filiación del art. 14 CE opera aquí, como consecuencia del principio de unidad de la Constitución, con el trasfondo del art. 39.2 y 3 CE, que obliga a los poderes públicos a asegurar “la protección integral de los hijos, iguales éstos ante la Ley con independencia de su filiación” [STC 7/1994, de 17 de enero, FJ 3 b)], y a los padres a “prestar asistencia de todo orden a los hijos habidos dentro o fuera del matrimonio”, de manera que toda opción legislativa de protección de los hijos que quebrante por sus contenidos esa unidad incurre en una discriminación por razón de nacimiento expresamente prohibida por el art. 14 CE, ya que la filiación no admite categorías jurídicas intermedias (SSTC 67/1998, de 18 de marzo, FJ 5; y 200/2001,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conforme a nuestra doctrina, el juicio de igualdad es de carácter relacional lo que implica que cuando se proyecta sobre el legislador, requiere la comprobación de que la norma de que se trate atribuye consecuencias jurídicas diversificadoras a grupos o categorías de personas creadas o determinadas por él mismo (STC 181/2000, de 29 de junio, FJ 10), y de que las situaciones subjetivas que quieran compararse sean efectivamente homogéneas o equiparables (STC 200/2001, de 4 de octubre, FJ 5). Sólo entonces puede decirse que la acción selectiva del autor de la norma resulta susceptible de control constitucional dirigido a fiscalizar si la introducción de “factores diferenciales” (STC 42/1986, de 10 de abril, FJ 5) o de “elementos de diferenciación” (STC 162/1985, de 29 de noviembre, FJ 2) resulta o no debidamente fundamentada.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 lo anterior, deberemos analizar ahora si la ya aludida diferencia de trato que ha dado lugar al planteamiento de la presente cuestión de inconstitucionalidad posee una justificación objetiva y razonable, toda vez que, como ya se ha anticipado, lo que prohíbe el principio constitucional de igualdad no es cualquier diferencia de trato, sino solamente aquella desigualdad que resulte artificiosa o injustificada por no venir fundada en criterios objetivos y razonables, según criterios o juicios de valor generalmente aceptados (por todas, STC 307/2006, de 23 de octubre, FJ 5). Ahora bien, también tenemos declarado [STC 154/2006, de 22 de mayo, FJ 6 a)] que la prohibición de discriminación es más que un precepto de igualdad y no requiere necesariamente un término de comparación, pero también es evidente que en ocasiones la discriminación puede concretarse en desigualdades de trato que pueden ser objeto de contraste o necesitar de éste para ser apreciadas. Bajo esas circunstancias, planteándose aquí un supuesto de desigualdad por razón del origen de la filiación que se encuadra en la prohibición de discriminación del art. 14 CE, deberemos atender a un canon más riguroso —de exigencia de parificación, como regla—, en la solución del caso que se nos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simple lectura del art. 123.3 de la Ley del Parlamento de Galicia 4/1995 evidencia la diferencia de trato que el mencionado precepto establece, en cuanto al eventual derecho a percibir alimentos con cargo al usufructo y el correlativo deber de prestarlos que pesa sobre el usufructuario, entre los descendientes que lo fueren solamente del fallecido y los que el precepto denomina comunes, esto es, del causante y del cónyuge supérstite beneficiario del usufructo, pues excluye a aquellos del mencionado derecho que reconoce únicamente a los segundos. Así pues, es claro que el legislador gallego ha otorgado, al regular las obligaciones que pesan sobre el beneficiario de un usufructo de esta naturaleza, un distinto tratamiento a los hijos y descendientes comunes respecto de los no comunes, descendientes todos ellos del causante y cuya única diferencia es, claro está, la diferente relación o vínculo con la usufructuaria, en principio, inexistente en el caso de los hijos o descendientes que lo sean únicamente del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lo anterior, debemos examinar el fundamento del precepto objeto del presente proceso para comprobar si es posible apreciar que la norma cuestionada responde a una justificación objetiva o razonable al tomar como elemento determinante de la diferenciación la relación con la usufructuaria o, más bien, la ausencia de vínculo con la misma, pues el carácter discriminatorio o no habrá de valorarse en relación con la finalidad y efectos de la medida considerada. Tal fundamento podemos encontrarlo, de acuerdo con el mandato constitucional del art. 39 CE, en la atención a las necesidades de los hijos o descendientes, de suerte que, con cargo al patrimonio de sus progenitores o ascendientes, aquellos reciben los medios necesarios para atender a su subsistencia, finalidad que el legislador, en cuanto configura la prestación de alimentos con cargo al usufructo como obligatoria, hace prevalecer incluso sobre la voluntad del causante que lo constituyó, pues la finalidad directa de esta institución es otra en cuanto pretende el mantenimiento de la unidad y cohesión del patrimonio del causante en beneficio de su cónyuge. De este modo, la razón última de la disposición es proteger a quienes gozaban a su favor y a cargo del causante al momento de su muerte del derecho a la prestación de alimentos en caso de necesidad, imponiendo la pervivencia de la obligación con cargo al usufructo vidual y evitando de esta forma su extinción por muerte del obligado.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si bien desde el punto de vista de las relaciones de parentesco es evidente que la situación de los hijos o descendientes comunes es diferente de la de aquellos que solamente lo son del causahabiente no debe obviarse que tal diferencia no resulta significativa si se atiende a la finalidad del precepto. Importa señalar que, en lo aquí relevante, ambos se encuentran en situación equiparable por cuanto, amén de unirles el mismo vínculo familiar con el causante, lo mismo ocurre en relación al patrimonio de su progenitor o ascendiente fallecido. También desde la perspectiva de la prestación de alimentos en relación al causahabiente y con cargo a sus bienes, ambos, en razón de su vinculo común, se encuentran en idéntica situación dado que ambos son hijos o descendientes del causante y ambos tienen reconocido, antes de su muerte, el derecho de alimentos, obligación que había de ser atendida con cargo a la unidad patrimonial que ahora sigue permaneciendo unida en tanto que gravada con el usufructo.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pone de manifiesto que el hecho de utilizar el criterio del carácter común de los descendientes o, dicho de otro modo, la existencia de previo vínculo con el beneficiario del usufructo, para circunscribir a éstos el ámbito de la obligación regulada por la norma no puede ser considerado como elemento de diferenciación válido desde la perspectiva de la prohibición de discriminación por razón de filiación derivada del art. 14 CE. El precepto, al establecer una obligación de alimentos que pesa sobre el beneficiario del usufructo y con cargo a los bienes objeto del mismo, trata de hacer frente a las eventuales situaciones de necesidad de aquellos que han visto extinguida la obligación de alimentos por muerte del obligado, extremo éste, el de las concretas necesidades del eventual alimentista en función del cual pueden producirse diferencias entre unos descendientes y otros en la aplicación del precepto que no pueden darse en la existencia y exigencia de un previo vínculo con el usufructuario. En un ámbito como el de la interdicción de la discriminación, en el que regla es la parificación, carece de justificación la diferencia de trato entre unos y otros descendientes, distinción entre situaciones equiparables que resulta perjudicial para la posición jurídica de unos descendientes respecto de los otros, de suerte que los que lo son sólo del causante puedan quedar sumidos en una eventual situación de necesidad tras la muerte del mismo —aun pudiendo ser, según los casos, herederos de sus bienes—, mientras que los que son comunes, siendo la misma la relación que les une con el causante, queden debidamente protegidos por aplicación del precepto que examinamos. De esta forma, al distinguir entre ellos, la norma aplicable no asegura a los descendientes del causante una idéntica cobertura familiar a sus necesidades y discrimina así a unos frente a otros por razón de su filiación.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es posible concluir que, al utilizar el carácter común o no común de los descendientes del causante como circunstancia que priva de la posibilidad de reclamar alimentos a aquellos que lo fueren únicamente del fallecido, el legislador gallego ha introducido una distinción basada en una circunstancia irrelevante en relación con la finalidad perseguida por la norma y ha diferenciado situaciones que deberían haber recibido la misma valoración. Todo ello sin que se haya aportado una justificación objetiva y razonable de la diferencia de trato, con la consecuencia de haber incurrido en la discriminación vedada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apreciada infracción del art. 14 CE no puede ser salvada con una interpretación del precepto inclusiva de los hijos y descendientes del premuerto, pues esa interpretación pugnaría con sus términos literales, cuya claridad hace que no haya lugar a duda alguna respecto del silencio que el legislador gallego guardó en punto a la extensión del deber de alimentos en casos como el aquí controvertido. Silencio tanto mas llamativo a la vista de lo afirmado en la exposición de motivos de la antes citada Ley del Parlamento de Galicia 2/2006, la cual, al abordar la reforma de la norma cuestionada, señala que “[s]e llama la atención de la nueva regulación del artículo 234.3), el cual extiende la obligación de prestar alimentos a los hijos y ascendientes [sic] que lo precisen, sin tener que reunir la condición de comunes, modificación que va a incidir en la cuestión de inconstitucionalidad núm. 311/2003 con relación al artículo 123.3) de la Ley de 24 de mayo de 1995”. Tampoco puede estimarse que la justificación del precepto radique, como sugiere la representación procesal de la Xunta de Galicia, en el margen de apreciación del que gozaría el legislador gallego para regular la institución de la forma que estime más conveniente, pues es evidente que, aun cuando a éste le corresponde apreciar en qué medida la ley ha de contemplar situaciones distintas que sea procedente diferenciar y tratar desigualmente, esa valoración tiene unos límites constitucionales, entre ellos el debido respeto al principio de igualdad y no discriminación del art. 14 CE, el cual le impone el deber de dispensar un mismo tratamiento a quienes, como es el caso, se encuentran en situaciones jurídicas equiparables, de forma que no cabe discernir, en la diferenciación normativa que enjuiciamos, una finalidad no contradictoria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el art. 123.3 de la Ley del Parlamento de Galicia 4/1995 incurre en infracción del art. 14 CE y, en la medida que su consecuencia inmediata es privar de protección exclusivamente a los hijos o descendientes del causante que no tengan la condición de comunes con el usufructuario, es contrario también a los mandatos de protección social, económica y jurídica de la familia así como de protección integral de los hijos del art. 39.1 y 2 CE. En consecuencia, el término “comunes” es el que incurre en la inconstitucionalidad denunciada en la presente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nula la expresión “comunes” que contiene el art. 123.3 de la Ley 4/1995, de 24 de mayo, de Derecho civil de Galicia.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