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2818-2012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2818-2012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del Juzgado de lo Penal núm. 5 de A Coruña de 21 de junio de 2011, dictada en el juicio oral núm. 95-2011, exclusivamente en lo relativo a la pena de prisión de nueve meses y a la accesoria de inhabilitación especial para 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mayo de 2012, se solicita en representación de don Antonio Fernández Álvarez el nombramiento de Procurador y Abogado del turno de oficio para interponer recurso de amparo contra la Sentencia de la Sección Segunda de la Audiencia Provincial de A Coruña de 27 de febrero de 2012, por la que se desestima el recurso de apelación núm. 312-2011, interpuesto contra la Sentencia del Juzgado de lo Penal núm. 5 de A Coruña de 21 de junio de 2011, dictada en el juicio oral núm. 85-2011, en que se condena al recurrente por un delito intentado de robo con fuerza en las cosas a la pena de prisión de nueve meses, la accesoria de inhabilitación especial para el ejercicio del derecho de sufragio pasivo durante el tiempo de la condena, así como al pago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realizadas las designaciones de los profesionales del turno de oficio, mediante escrito registrado el 25 de julio de 2012, la Procuradora de los Tribunales doña Isabel del Pino Peño, bajo la asistencia de la Letrada doña María Paloma García García, formalizó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7 de octubre de 2013,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17 de octubre de 2013, presentó alegaciones en las que, enunciando la jurisprudencia de este Tribunal sobre el particular, interesó la suspensión de la pena privativa de libertad, argumentando que si se compara la duración de la pena privativa de libertad impuesta, que es de prisión de nueve meses, con el tiempo que normalmente se consume en la tramitación de un recurso de amparo, la denegación de la suspensión causaría al recurrente un perjuicio irreparable. Por el contrario, considera que no debe accederse a suspender la condena al pago de las costas procesales por su carácter de consecuencia jurídica de carácter económico y no haberse acreditado los graves perjuicios que podrían producirse.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16 de octubre de 2013, presentó alegaciones poniendo de manifiesto que la suspensión de las penas de nueve meses de prisión y la accesoria de inhabilitación especial no suponen una perturbación grave de los intereses generales y su cumplimiento podría hacer perder la finalidad del recurso de amparo. En relación con la suspensión del pago de las costas, el recurrente argumenta que carece de medios económicos para hacer frente al pago dadas su minusvalía y situación de paro, “poniéndole en una grave situación vital al necesitar los escasísimos recursos económicos que pueda tener para poder vivir”.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En atención a esta previsión legal, el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(ATC 124/2012, de 18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las penas de privación de libertad, este Tribunal ha afirmado que procede, en principio, acordar su suspensión al afectar a un bien de imposible o muy difícil restitución, pero destacando que este criterio general tampoco es absoluto, ya que en estos supuestos deben ponderarse otras circunstancias relevantes, significativamente la duración y gravedad de la pena impuesta porque en ella se expresa la reprobación que el ordenamiento asigna al hecho delictivo y, por consiguiente, la magnitud del interés general en su ejecución. Del mismo modo, este Tribunal también ha afirmado que la suspensión de la pena privativa de libertad debe conllevar la suspensión de las penas accesorias de inhabilitación que lleven a aparejadas (ATC 58/2012, de 26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ejecución de los pronunciamientos con efectos fundamentalmente patrimoniales o de contenido económico, este Tribunal ha consagrado que, con carácter general, ni causa un perjuicio irreparable al obligado al pago, ni puede hacer perder al amparo su finalidad, al ser posible la restitución íntegra de lo ejecutado. De ese modo, solo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(ATC 81/2012, de 7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la suspensión de la Sentencia impugnada, en primer lugar, respecto de la pena de prisión de nueve meses y su accesoria de inhabilitación especial para el ejercicio del derecho de sufragio pasivo durante ese mismo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también el Ministerio Fiscal, debe acordarse la suspensión de la pena privativa de libertad y su accesoria de inhabilitación especial. Su ejecución puede ocasionar al recurrente perjuicios irreparables que harían perder al amparo su finalidad, tanto por afectar al valor fundamental de la libertad como porque si se compara la duración de tales penas —nueve meses— con el tiempo que requiere la tramitación de un proceso de amparo como el presente, la no suspensión de su ejecución ocasionaría un perjuicio irreparable, que privaría en parte o, incluso, en todo de eficacia a un eventual fallo estimatorio. Por otra parte, el acceder a la suspensión pretendida no ocasiona una lesión específica y grave de un interés constitucionalmente protegido —más allá de aquél que de por sí produce la no ejecución de un fallo judicial—, ni de derechos fundamentales o libertades públicas de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también ha solicitado la suspensión de la condena en costas argumentando su minusvalía, la situación de paro y que carece de recursos económicos. Sin embargo, tal como también ha interesado el Ministerio Fiscal, no procede acceder a dicha solicitud. El recurrente no ha cumplido la carga procesal que le incumbe de acreditar la concurrencia de un perjuicio irreparable derivado de la ejecución de este pronunciamiento, toda vez que ni ha puesto de manifiesto la cuantificación de las costas procesales ni si esa carencia de medios que alega ha dado ya lugar a la aprobación de la declaración de insolvencia en vía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del Juzgado de lo Penal núm. 5 de A Coruña de 21 de junio de 2011, dictada en el juicio oral núm. 95-2011, exclusivamente en lo relativo a la pena de prisión de nueve meses y a la accesoria de inhabilitación especial para 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