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resolución de la Subdelegación del Gobierno en Cádiz de 21 de septiembre de 2009, que impone a la recurrente la sanción de expulsión del territorio nacional y prohibición de entrada durante cinco años, así como las Sentencias de 30 de marzo de 2011 y de 13 de marzo de 2012, del Juzgado de lo Contencioso-Administrativo núm. 2 de Cádiz y de la Sala de lo Contencioso-Administrativo del Tribunal Superior de Justicia de Andalucía, respectivamente.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31 de julio de 2012, doña Gabriela Verónica Albarracín, representada por la Procuradora de los Tribunales doña Elisa Sáez Angulo y asistida por el Letrado don Javier Sánchez Sánchez, interpuso recurso de amparo contra la resolución administrativa de 21 de septiembre de 2009 que decretó su expulsión, y frente a las resoluciones judiciales que desestimaron el recurso contencioso-administrativo planteado, Sentencias de 30 de marzo de 2011 y de 13 de marzo de 2012, del Juzgado de lo Contencioso-Administrativo núm. 2 de Cádiz y de la Sala de lo Contencioso-Administrativo del Tribunal Superior de Justicia de Andalucía,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Administración incoó expediente de expulsión a la recurrente por encontrarse sin documentación que le habilitara a permanecer en España; asimismo, en el momento de iniciarse el proceso de expulsión, la ahora demandante de amparo se encontraba cumpliendo condena al haber cometido un delito contra la salud pública. En la demanda de amparo alegaba la vulneración del derecho a la motivación de las resoluciones sancionadoras, art. 24 CE, así como la lesión del art. 18 CE, derecho a la intimidad familiar y del art. 19 CE al tener una hija de nacionalidad española que se vería “expulsada” al serlo la madre.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en la demanda de amparo y conforme al art. 56.2 de la Ley Orgánica del Tribunal Constitucional (LOTC), solicitaba la suspensión de las resoluciones impugnadas, alegando, en primer término, que la ejecución del acto administrativo recurrido haría perder al amparo su finalidad en caso de ser concedido, porque los perjuicios de carácter personal, económico y familiar serían de imposible resarcimiento, debido a las circunstancias de arraigo familiar alegadas en la demanda que determinarían que la expulsión afectaría a la vida privada y familiar de la recurrente, así como, en segundo lugar, que la ejecución del acto haría perder en gran medida la finalidad legítima del recurso al conllevar la expulsión de la recurrente a su país de origen. Además se alega que la suspensión de las resoluciones impugnadas no ocasionará perturbación grave a un interés constitucionalmente protegido ni a los derechos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admitida a trámite la demanda de amparo la Sala Segunda del Tribunal Constitucional, mediante providencia de 11 de abril de 2013, acordó la apertura de la presente pieza separada de suspensión y, conforme al art. 56 LOTC, concedió un plazo común de tres días a la parte recurrente, al Ministerio Fiscal y al Abogado del Estado para que alegasen lo que estimasen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mediante escrito que tuvo entrada en este Tribunal el 18 de abril de 2013 reiteró su petición de suspensión remitiéndose a los argumentos esgrimidos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de 26 de abril de 2013, se mostró favorable a la suspensión solicitada; considera que, conforme a la doctrina de este Tribunal, la naturaleza del interés afectado puede considerarse irreparable teniendo en cuenta que de producirse la expulsión se podría frustrarse la finalidad del recurso, además de afectar el derecho de la convivencia familiar de la propia interesada y sobre todo de la hija menor de edad cuyo superior interés debe ser tenido en cuenta.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al presente caso de la doctrina reseñada, en opinión del Ministerio Fiscal, determina la necesidad de acceder a la suspensión solicitada. En los casos de expulsión de extranjeros, como expresó el ATC 82/1999, de 12 de abril, la efectividad de las resoluciones como las ahora impugnadas, por las que se declara procedente la expulsión del actor, con la consiguiente salida del territorio nacional, podría convertir en ilusoria una eventual concesión del amparo. Una vez que el ciudadano expulsado se encontrase fuera de nuestras fronteras, un fallo estimatorio de este Tribunal carecería de eficacia práctica para preservar o restaurar los derechos fundamentales ahora invocados, pues lo que se trata de impedir con el presente recurso —la expulsión del territorio nacional— ya habría tenido lugar y, pese a que una eventual concesión del amparo pudiera tener como consecuencia la posibilidad de que la recurrente regresase a España, los perjuicios de carácter personal, económico y familiar serían de imposible resarcimiento. De otro lado, no parece que una suspensión de la resolución judicial recurrida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por todos, ATC 66/2012, de 16 de abril,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este Tribunal, entre otros muchos, en los AATC 462/2007, de 17 de diciembre, 116/2008, de 28 de abril, y 25/2009, de 26 de enero,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expulsión de extranjeros del territorio nacional, este Tribunal ha señalado, por todos, ATC 66/2012, de 16 de abril, que la ejecución de las resoluciones que la acuerdan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en aplicación de lo expuesto, y conforme también solicita el Ministerio Fiscal, resulta procedente acordar la suspensión de la expulsión del territorio nacional de la recurrente, atendiendo al conjunto de sus circunstancias personales, toda vez que tampoco cabe apreciar que dicha suspensión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resolución de la Subdelegación del Gobierno en Cádiz de 21 de septiembre de 2009, que impone a la recurrente la sanción de expulsión del territorio nacional y prohibición de entrada durante cinco años, así como las Sentencias de 30 de marzo de 2011 y de 13 de marzo de 2012, del Juzgado de lo Contencioso-Administrativo núm. 2 de Cádiz y de la Sala de lo Contencioso-Administrativo del Tribunal Superior de Justicia de Andalucía, respectivamente.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