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8996-2010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8996-2010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Rectificar el error material en cuanto a la fecha del Auto de 9 de noviembre de 2010 dictado por la Audiencia Provincial de Cáceres.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En el encabezamiento de la Sentencia, así como en su parte dispositiva, donde dice “Auto de 9 de noviembre de 2012” debe decir “Auto de 9 de noviembre de 2010”.</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Rechazar la petición de complemento de Sentencia solicitado.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27 de diciembre de 2010, doña María de la Concepción Moreno de Barreda Rovira, Procuradora de los Tribunales y de Pinturas Eurotex, S.A., y Palacete de los Lasso, S.L.U., interpuso recurso de amparo frente al Auto del Juzgado de Primera Instancia e Instrucción núm. 5 de Cáceres de 26 de julio de 2010 y frente al Auto de 9 de noviembre de 2010 de la Audiencia Provincial de Cáceres que desestimó el recurso de apelación interpuesto frente aquél. El Tribunal Constitucional otorgó el amparo solicitado en STC 106/2013, de 6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16 de mayo de 2013, doña María de la Concepción Moreno de Barreda Rovira, Procuradora de los Tribunales y de Pinturas Eurotex, S.A., y Palacete de los Lasso, S.L.U., presentó escrito solicitando la corrección y complemento de la 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solicitaba la corrección del error material contenido en la parte dispositiva de la Sentencia que declara la nulidad del Auto de 9 de noviembre de 2012 de la Sección Primera de la Audiencia Provincial de Cáceres, cuando el citado Auto fue dictado en el año 2010. Este defecto tipográfico también se advierte en el encabezamiento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solicita el complemento de la Sentencia puesto que, pese a estimar íntegramente lo interesado, obvia plasmar en su parte dispositiva un pedimento deducido de forma expresa en el pedimento (iii) del suplico de la demanda, la parte interesó que se declarara “la nulidad del Auto núm. 166/2010, de 9 de noviembre de 2010, dictado por la Sección Primera de la Audiencia Provincial de Cáceres por el que se resuelve el recurso de apelación con núm. de rollo 581-2010”, “así como la de todas las actuaciones y resoluciones posteriores”. Sin embargo, pese a “otorgar el amparo solicitado”, la Sentencia no acuerda la nulidad de todas esas actuaciones y resoluciones posteriores que han traído causa de los dos Autos declarados nulos. Por ello, considera que procede el complemento de la Sentencia dada la omisión denunciada.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la Sentencia. Esta actuación judicial, de acuerdo con el art. 267.1 de la Ley Orgánica del Poder Judicial, deberá limitarse a “aclarar algún concepto oscuro y suplir cualquier omisión que contengan” sobre puntos discutidos en el litigio, siendo posible también rectificar los errores materiales manifiestos y los aritméticos allí contenidos, pero no podrá suponer, sin embargo, variación o modificación de la Sentencia (entre otros, AATC 363/2007, de 11 de septiembre; 439/2006, de 11 de diciembre; 70/2008, de 26 de febrero; y 32/2010, de 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solicita la rectificación de un error material contenido, tanto en el fallo, como en el encabezamiento de la Sentencia, en relación a la fecha del Auto dictado por la Audiencia Provincial de Cáceres el 9 de noviembre de 2010. Constando el error material advertido, procede la rectificación solicitada. Por ello, donde dice “Auto de 9 de noviembre de 2012” debe decir “Auto de 9 de noviembre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complemento de Sentencia solicitado debe recordarse que la parte dispositiva de la Sentencia de 6 de mayo de 2013, corregido el error material antes señalado, dispuso: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“Otorgar el amparo solicitado por Pinturas Eurotex, S.A., y Palacete de los Lasso S.L.U., y, en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Reconocer su derecho fundamental a la tutela judicial efectiva, art. 24.1 CE, en su vertiente de acceso a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Restablecerlas en su derecho y, a tal fin, declarar la nulidad del Auto de 26 de julio de 2010 del Juzgado de Primera Instancia e Instrucción núm. 5 de Cáceres, dictado en el procedimiento ordinario núm. 940-2009, y del Auto de 9 de noviembre de 2010 de la Sección Primera de la Audiencia Provincial de Cáceres, dictado en el recurso de apelación núm. 581-2010, retrotrayendo las actuaciones al momento anterior al del pronunciamiento del Auto dictado en instancia, para que se dicte nueva resolución judicial que resulte respetuosa con el derecho fundamental reconocido.”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petición debe ser rechazada. El complemento de Sentencia que solicita —inclusión expresa en el fallo de la Sentencia de la declaración de nulidad de todas las resoluciones judiciales posteriores a los Autos anulados— no procede, puesto que la declaración de nulidad de las resoluciones judiciales señaladas, con expresa orden de retroacción de actuaciones al momento previo al que fueron dictadas, supone la nulidad de las resoluciones judiciales posteriores que trajeran causa de las anuladas.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Rectificar el error material en cuanto a la fecha del Auto de 9 de noviembre de 2010 dictado por la Audiencia Provincial de Cáceres.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En el encabezamiento de la Sentencia, así como en su parte dispositiva, donde dice “Auto de 9 de noviembre de 2012” debe decir “Auto de 9 de noviembre de 2010”.</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Rechazar la petición de complemento de Sentencia solicitado.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